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w:t>
      </w:r>
      <w:r w:rsidR="004155FB">
        <w:rPr>
          <w:rFonts w:ascii="Arial" w:hAnsi="Arial" w:cs="Arial"/>
          <w:b/>
          <w:sz w:val="17"/>
          <w:szCs w:val="17"/>
        </w:rPr>
        <w:t>AS A LOS ESTADOS FINANCIEROS DE LA UNIVERSIDAD TECNOLOGICA DE QUERETARO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640355">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640355">
            <w:pPr>
              <w:jc w:val="center"/>
              <w:rPr>
                <w:rFonts w:ascii="Arial" w:hAnsi="Arial" w:cs="Arial"/>
                <w:b/>
                <w:bCs/>
                <w:color w:val="000000"/>
                <w:sz w:val="17"/>
                <w:szCs w:val="17"/>
              </w:rPr>
            </w:pPr>
            <w:r>
              <w:rPr>
                <w:rFonts w:ascii="Arial" w:hAnsi="Arial" w:cs="Arial"/>
                <w:b/>
                <w:bCs/>
                <w:color w:val="000000"/>
                <w:sz w:val="17"/>
                <w:szCs w:val="17"/>
              </w:rPr>
              <w:t>FEDERAL</w:t>
            </w:r>
            <w:r w:rsidR="002F170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640355">
            <w:pPr>
              <w:jc w:val="right"/>
              <w:rPr>
                <w:rFonts w:ascii="Arial" w:hAnsi="Arial" w:cs="Arial"/>
                <w:b/>
                <w:bCs/>
                <w:color w:val="000000"/>
                <w:sz w:val="17"/>
                <w:szCs w:val="17"/>
              </w:rPr>
            </w:pPr>
            <w:r>
              <w:rPr>
                <w:rFonts w:ascii="Arial" w:hAnsi="Arial" w:cs="Arial"/>
                <w:b/>
                <w:bCs/>
                <w:color w:val="000000"/>
                <w:sz w:val="17"/>
                <w:szCs w:val="17"/>
              </w:rPr>
              <w:t>0</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0355" w:rsidRPr="002D70DA" w:rsidRDefault="00640355">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Default="00640355">
            <w:r w:rsidRPr="002F0149">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Pr="002D70DA" w:rsidRDefault="00640355">
            <w:pPr>
              <w:jc w:val="right"/>
              <w:rPr>
                <w:rFonts w:ascii="Arial" w:hAnsi="Arial" w:cs="Arial"/>
                <w:b/>
                <w:bCs/>
                <w:color w:val="000000"/>
                <w:sz w:val="17"/>
                <w:szCs w:val="17"/>
              </w:rPr>
            </w:pPr>
            <w:r>
              <w:rPr>
                <w:rFonts w:ascii="Arial" w:hAnsi="Arial" w:cs="Arial"/>
                <w:b/>
                <w:bCs/>
                <w:color w:val="000000"/>
                <w:sz w:val="17"/>
                <w:szCs w:val="17"/>
              </w:rPr>
              <w:t>2,514.71</w:t>
            </w:r>
            <w:r w:rsidRPr="002D70DA">
              <w:rPr>
                <w:rFonts w:ascii="Arial" w:hAnsi="Arial" w:cs="Arial"/>
                <w:b/>
                <w:bCs/>
                <w:color w:val="000000"/>
                <w:sz w:val="17"/>
                <w:szCs w:val="17"/>
              </w:rPr>
              <w:t> </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0355" w:rsidRPr="002D70DA" w:rsidRDefault="00640355">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Default="00640355">
            <w:r w:rsidRPr="002F0149">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Pr="002D70DA" w:rsidRDefault="00640355">
            <w:pPr>
              <w:jc w:val="right"/>
              <w:rPr>
                <w:rFonts w:ascii="Arial" w:hAnsi="Arial" w:cs="Arial"/>
                <w:b/>
                <w:bCs/>
                <w:color w:val="000000"/>
                <w:sz w:val="17"/>
                <w:szCs w:val="17"/>
              </w:rPr>
            </w:pPr>
            <w:r>
              <w:rPr>
                <w:rFonts w:ascii="Arial" w:hAnsi="Arial" w:cs="Arial"/>
                <w:b/>
                <w:bCs/>
                <w:color w:val="000000"/>
                <w:sz w:val="17"/>
                <w:szCs w:val="17"/>
              </w:rPr>
              <w:t>27,958.91</w:t>
            </w:r>
            <w:r w:rsidRPr="002D70DA">
              <w:rPr>
                <w:rFonts w:ascii="Arial" w:hAnsi="Arial" w:cs="Arial"/>
                <w:b/>
                <w:bCs/>
                <w:color w:val="000000"/>
                <w:sz w:val="17"/>
                <w:szCs w:val="17"/>
              </w:rPr>
              <w:t> </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0355" w:rsidRPr="002D70DA" w:rsidRDefault="00640355">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Default="00640355">
            <w:r w:rsidRPr="002F0149">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Pr="002D70DA" w:rsidRDefault="00640355">
            <w:pPr>
              <w:jc w:val="right"/>
              <w:rPr>
                <w:rFonts w:ascii="Arial" w:hAnsi="Arial" w:cs="Arial"/>
                <w:b/>
                <w:bCs/>
                <w:color w:val="000000"/>
                <w:sz w:val="17"/>
                <w:szCs w:val="17"/>
              </w:rPr>
            </w:pPr>
            <w:r>
              <w:rPr>
                <w:rFonts w:ascii="Arial" w:hAnsi="Arial" w:cs="Arial"/>
                <w:b/>
                <w:bCs/>
                <w:color w:val="000000"/>
                <w:sz w:val="17"/>
                <w:szCs w:val="17"/>
              </w:rPr>
              <w:t>17,694.14</w:t>
            </w:r>
            <w:r w:rsidRPr="002D70DA">
              <w:rPr>
                <w:rFonts w:ascii="Arial" w:hAnsi="Arial" w:cs="Arial"/>
                <w:b/>
                <w:bCs/>
                <w:color w:val="000000"/>
                <w:sz w:val="17"/>
                <w:szCs w:val="17"/>
              </w:rPr>
              <w:t> </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Default="00640355">
            <w:r w:rsidRPr="00BC6110">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Default="00640355">
            <w:r w:rsidRPr="002F0149">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Pr="002D70DA" w:rsidRDefault="00640355">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Default="00640355">
            <w:r w:rsidRPr="00BC6110">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Default="00640355">
            <w:r w:rsidRPr="002F0149">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Pr="002D70DA" w:rsidRDefault="00640355">
            <w:pPr>
              <w:jc w:val="right"/>
              <w:rPr>
                <w:rFonts w:ascii="Arial" w:hAnsi="Arial" w:cs="Arial"/>
                <w:b/>
                <w:bCs/>
                <w:color w:val="000000"/>
                <w:sz w:val="17"/>
                <w:szCs w:val="17"/>
              </w:rPr>
            </w:pPr>
            <w:r>
              <w:rPr>
                <w:rFonts w:ascii="Arial" w:hAnsi="Arial" w:cs="Arial"/>
                <w:b/>
                <w:bCs/>
                <w:color w:val="000000"/>
                <w:sz w:val="17"/>
                <w:szCs w:val="17"/>
              </w:rPr>
              <w:t>49,951.45</w:t>
            </w:r>
            <w:r w:rsidRPr="002D70DA">
              <w:rPr>
                <w:rFonts w:ascii="Arial" w:hAnsi="Arial" w:cs="Arial"/>
                <w:b/>
                <w:bCs/>
                <w:color w:val="000000"/>
                <w:sz w:val="17"/>
                <w:szCs w:val="17"/>
              </w:rPr>
              <w:t> </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Default="00640355">
            <w:r w:rsidRPr="00BC6110">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Default="00640355">
            <w:r w:rsidRPr="002F0149">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Pr="002D70DA" w:rsidRDefault="00640355">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Default="00640355">
            <w:r w:rsidRPr="00BC6110">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Default="00640355">
            <w:r w:rsidRPr="002F0149">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Pr="002D70DA" w:rsidRDefault="00640355">
            <w:pPr>
              <w:jc w:val="right"/>
              <w:rPr>
                <w:rFonts w:ascii="Arial" w:hAnsi="Arial" w:cs="Arial"/>
                <w:b/>
                <w:bCs/>
                <w:color w:val="000000"/>
                <w:sz w:val="17"/>
                <w:szCs w:val="17"/>
              </w:rPr>
            </w:pPr>
            <w:r>
              <w:rPr>
                <w:rFonts w:ascii="Arial" w:hAnsi="Arial" w:cs="Arial"/>
                <w:b/>
                <w:bCs/>
                <w:color w:val="000000"/>
                <w:sz w:val="17"/>
                <w:szCs w:val="17"/>
              </w:rPr>
              <w:t>36,756.30</w:t>
            </w:r>
            <w:r w:rsidRPr="002D70DA">
              <w:rPr>
                <w:rFonts w:ascii="Arial" w:hAnsi="Arial" w:cs="Arial"/>
                <w:b/>
                <w:bCs/>
                <w:color w:val="000000"/>
                <w:sz w:val="17"/>
                <w:szCs w:val="17"/>
              </w:rPr>
              <w:t> </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Default="00640355">
            <w:r w:rsidRPr="00BC6110">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Default="00640355">
            <w:r w:rsidRPr="002F0149">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Pr="002D70DA" w:rsidRDefault="00640355">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Default="00640355">
            <w:r w:rsidRPr="00BC6110">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Default="00640355">
            <w:r w:rsidRPr="002F0149">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Pr="002D70DA" w:rsidRDefault="00640355">
            <w:pPr>
              <w:jc w:val="right"/>
              <w:rPr>
                <w:rFonts w:ascii="Arial" w:hAnsi="Arial" w:cs="Arial"/>
                <w:b/>
                <w:bCs/>
                <w:color w:val="000000"/>
                <w:sz w:val="17"/>
                <w:szCs w:val="17"/>
              </w:rPr>
            </w:pPr>
            <w:r>
              <w:rPr>
                <w:rFonts w:ascii="Arial" w:hAnsi="Arial" w:cs="Arial"/>
                <w:b/>
                <w:bCs/>
                <w:color w:val="000000"/>
                <w:sz w:val="17"/>
                <w:szCs w:val="17"/>
              </w:rPr>
              <w:t>33,931.27</w:t>
            </w:r>
            <w:r w:rsidRPr="002D70DA">
              <w:rPr>
                <w:rFonts w:ascii="Arial" w:hAnsi="Arial" w:cs="Arial"/>
                <w:b/>
                <w:bCs/>
                <w:color w:val="000000"/>
                <w:sz w:val="17"/>
                <w:szCs w:val="17"/>
              </w:rPr>
              <w:t> </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Default="00640355">
            <w:r w:rsidRPr="00BC6110">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Default="00640355">
            <w:r w:rsidRPr="002F0149">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Pr="002D70DA" w:rsidRDefault="00640355">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Default="00640355">
            <w:r w:rsidRPr="00BC6110">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Default="00640355">
            <w:r w:rsidRPr="002F0149">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Pr="002D70DA" w:rsidRDefault="00640355">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Default="00640355">
            <w:r w:rsidRPr="00EF0735">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Default="00640355">
            <w:r w:rsidRPr="009E066A">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Default="00640355">
            <w:pPr>
              <w:jc w:val="right"/>
              <w:rPr>
                <w:rFonts w:ascii="Arial" w:hAnsi="Arial" w:cs="Arial"/>
                <w:b/>
                <w:bCs/>
                <w:color w:val="000000"/>
                <w:sz w:val="17"/>
                <w:szCs w:val="17"/>
              </w:rPr>
            </w:pPr>
            <w:r>
              <w:rPr>
                <w:rFonts w:ascii="Arial" w:hAnsi="Arial" w:cs="Arial"/>
                <w:b/>
                <w:bCs/>
                <w:color w:val="000000"/>
                <w:sz w:val="17"/>
                <w:szCs w:val="17"/>
              </w:rPr>
              <w:t>0</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Default="00640355">
            <w:r w:rsidRPr="00EF0735">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Default="00640355">
            <w:r>
              <w:rPr>
                <w:rFonts w:ascii="Arial" w:hAnsi="Arial" w:cs="Arial"/>
                <w:b/>
                <w:bCs/>
                <w:color w:val="000000"/>
                <w:sz w:val="17"/>
                <w:szCs w:val="17"/>
              </w:rPr>
              <w:t>ESTATAL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Pr="002D70DA" w:rsidRDefault="00640355">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Pr="00EF0735" w:rsidRDefault="00640355">
            <w:pPr>
              <w:rPr>
                <w:rFonts w:ascii="Arial" w:hAnsi="Arial" w:cs="Arial"/>
                <w:color w:val="000000"/>
                <w:sz w:val="17"/>
                <w:szCs w:val="17"/>
              </w:rPr>
            </w:pPr>
            <w:r w:rsidRPr="00EF0735">
              <w:rPr>
                <w:rFonts w:ascii="Arial" w:hAnsi="Arial" w:cs="Arial"/>
                <w:color w:val="000000"/>
                <w:sz w:val="17"/>
                <w:szCs w:val="17"/>
              </w:rPr>
              <w:lastRenderedPageBreak/>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Pr="009E066A" w:rsidRDefault="00640355">
            <w:pPr>
              <w:rPr>
                <w:rFonts w:ascii="Arial" w:hAnsi="Arial" w:cs="Arial"/>
                <w:b/>
                <w:bCs/>
                <w:color w:val="000000"/>
                <w:sz w:val="17"/>
                <w:szCs w:val="17"/>
              </w:rPr>
            </w:pPr>
            <w:r>
              <w:rPr>
                <w:rFonts w:ascii="Arial" w:hAnsi="Arial" w:cs="Arial"/>
                <w:b/>
                <w:bCs/>
                <w:color w:val="000000"/>
                <w:sz w:val="17"/>
                <w:szCs w:val="17"/>
              </w:rPr>
              <w:t>PROPIO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Default="00640355">
            <w:pPr>
              <w:jc w:val="right"/>
              <w:rPr>
                <w:rFonts w:ascii="Arial" w:hAnsi="Arial" w:cs="Arial"/>
                <w:b/>
                <w:bCs/>
                <w:color w:val="000000"/>
                <w:sz w:val="17"/>
                <w:szCs w:val="17"/>
              </w:rPr>
            </w:pPr>
            <w:r>
              <w:rPr>
                <w:rFonts w:ascii="Arial" w:hAnsi="Arial" w:cs="Arial"/>
                <w:b/>
                <w:bCs/>
                <w:color w:val="000000"/>
                <w:sz w:val="17"/>
                <w:szCs w:val="17"/>
              </w:rPr>
              <w:t>10,735.58</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Pr="00EF0735" w:rsidRDefault="00640355">
            <w:pPr>
              <w:rPr>
                <w:rFonts w:ascii="Arial" w:hAnsi="Arial" w:cs="Arial"/>
                <w:color w:val="000000"/>
                <w:sz w:val="17"/>
                <w:szCs w:val="17"/>
              </w:rPr>
            </w:pPr>
            <w:r w:rsidRPr="00EF0735">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Pr="009E066A" w:rsidRDefault="00640355">
            <w:pPr>
              <w:rPr>
                <w:rFonts w:ascii="Arial" w:hAnsi="Arial" w:cs="Arial"/>
                <w:b/>
                <w:bCs/>
                <w:color w:val="000000"/>
                <w:sz w:val="17"/>
                <w:szCs w:val="17"/>
              </w:rPr>
            </w:pPr>
            <w:r>
              <w:rPr>
                <w:rFonts w:ascii="Arial" w:hAnsi="Arial" w:cs="Arial"/>
                <w:b/>
                <w:bCs/>
                <w:color w:val="000000"/>
                <w:sz w:val="17"/>
                <w:szCs w:val="17"/>
              </w:rPr>
              <w:t>PROPIO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Default="00640355">
            <w:pPr>
              <w:jc w:val="right"/>
              <w:rPr>
                <w:rFonts w:ascii="Arial" w:hAnsi="Arial" w:cs="Arial"/>
                <w:b/>
                <w:bCs/>
                <w:color w:val="000000"/>
                <w:sz w:val="17"/>
                <w:szCs w:val="17"/>
              </w:rPr>
            </w:pPr>
            <w:r>
              <w:rPr>
                <w:rFonts w:ascii="Arial" w:hAnsi="Arial" w:cs="Arial"/>
                <w:b/>
                <w:bCs/>
                <w:color w:val="000000"/>
                <w:sz w:val="17"/>
                <w:szCs w:val="17"/>
              </w:rPr>
              <w:t>40,000.00</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Pr="00EF0735" w:rsidRDefault="00640355">
            <w:pPr>
              <w:rPr>
                <w:rFonts w:ascii="Arial" w:hAnsi="Arial" w:cs="Arial"/>
                <w:color w:val="000000"/>
                <w:sz w:val="17"/>
                <w:szCs w:val="17"/>
              </w:rPr>
            </w:pPr>
            <w:r w:rsidRPr="00EF0735">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Pr="009E066A" w:rsidRDefault="00640355">
            <w:pPr>
              <w:rPr>
                <w:rFonts w:ascii="Arial" w:hAnsi="Arial" w:cs="Arial"/>
                <w:b/>
                <w:bCs/>
                <w:color w:val="000000"/>
                <w:sz w:val="17"/>
                <w:szCs w:val="17"/>
              </w:rPr>
            </w:pPr>
            <w:r>
              <w:rPr>
                <w:rFonts w:ascii="Arial" w:hAnsi="Arial" w:cs="Arial"/>
                <w:b/>
                <w:bCs/>
                <w:color w:val="000000"/>
                <w:sz w:val="17"/>
                <w:szCs w:val="17"/>
              </w:rPr>
              <w:t>PROPIO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Default="00640355">
            <w:pPr>
              <w:jc w:val="right"/>
              <w:rPr>
                <w:rFonts w:ascii="Arial" w:hAnsi="Arial" w:cs="Arial"/>
                <w:b/>
                <w:bCs/>
                <w:color w:val="000000"/>
                <w:sz w:val="17"/>
                <w:szCs w:val="17"/>
              </w:rPr>
            </w:pPr>
            <w:r>
              <w:rPr>
                <w:rFonts w:ascii="Arial" w:hAnsi="Arial" w:cs="Arial"/>
                <w:b/>
                <w:bCs/>
                <w:color w:val="000000"/>
                <w:sz w:val="17"/>
                <w:szCs w:val="17"/>
              </w:rPr>
              <w:t>39,348.46</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Pr="00EF0735" w:rsidRDefault="00640355">
            <w:pPr>
              <w:rPr>
                <w:rFonts w:ascii="Arial" w:hAnsi="Arial" w:cs="Arial"/>
                <w:color w:val="000000"/>
                <w:sz w:val="17"/>
                <w:szCs w:val="17"/>
              </w:rPr>
            </w:pPr>
            <w:r w:rsidRPr="00EF0735">
              <w:rPr>
                <w:rFonts w:ascii="Arial" w:hAnsi="Arial" w:cs="Arial"/>
                <w:color w:val="000000"/>
                <w:sz w:val="17"/>
                <w:szCs w:val="17"/>
              </w:rPr>
              <w:t>BBVA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Pr="009E066A" w:rsidRDefault="00640355">
            <w:pPr>
              <w:rPr>
                <w:rFonts w:ascii="Arial" w:hAnsi="Arial" w:cs="Arial"/>
                <w:b/>
                <w:bCs/>
                <w:color w:val="000000"/>
                <w:sz w:val="17"/>
                <w:szCs w:val="17"/>
              </w:rPr>
            </w:pPr>
            <w:r>
              <w:rPr>
                <w:rFonts w:ascii="Arial" w:hAnsi="Arial" w:cs="Arial"/>
                <w:b/>
                <w:bCs/>
                <w:color w:val="000000"/>
                <w:sz w:val="17"/>
                <w:szCs w:val="17"/>
              </w:rPr>
              <w:t>PROPIO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Default="00640355">
            <w:pPr>
              <w:jc w:val="right"/>
              <w:rPr>
                <w:rFonts w:ascii="Arial" w:hAnsi="Arial" w:cs="Arial"/>
                <w:b/>
                <w:bCs/>
                <w:color w:val="000000"/>
                <w:sz w:val="17"/>
                <w:szCs w:val="17"/>
              </w:rPr>
            </w:pPr>
            <w:r>
              <w:rPr>
                <w:rFonts w:ascii="Arial" w:hAnsi="Arial" w:cs="Arial"/>
                <w:b/>
                <w:bCs/>
                <w:color w:val="000000"/>
                <w:sz w:val="17"/>
                <w:szCs w:val="17"/>
              </w:rPr>
              <w:t>124,894.59</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Pr="00EF0735" w:rsidRDefault="00640355">
            <w:pPr>
              <w:rPr>
                <w:rFonts w:ascii="Arial" w:hAnsi="Arial" w:cs="Arial"/>
                <w:color w:val="000000"/>
                <w:sz w:val="17"/>
                <w:szCs w:val="17"/>
              </w:rPr>
            </w:pPr>
            <w:r>
              <w:rPr>
                <w:rFonts w:ascii="Arial" w:hAnsi="Arial" w:cs="Arial"/>
                <w:color w:val="000000"/>
                <w:sz w:val="17"/>
                <w:szCs w:val="17"/>
              </w:rPr>
              <w:t>HSBC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Pr="009E066A" w:rsidRDefault="00AC322A">
            <w:pPr>
              <w:rPr>
                <w:rFonts w:ascii="Arial" w:hAnsi="Arial" w:cs="Arial"/>
                <w:b/>
                <w:bCs/>
                <w:color w:val="000000"/>
                <w:sz w:val="17"/>
                <w:szCs w:val="17"/>
              </w:rPr>
            </w:pPr>
            <w:r>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Default="00AC322A">
            <w:pPr>
              <w:jc w:val="right"/>
              <w:rPr>
                <w:rFonts w:ascii="Arial" w:hAnsi="Arial" w:cs="Arial"/>
                <w:b/>
                <w:bCs/>
                <w:color w:val="000000"/>
                <w:sz w:val="17"/>
                <w:szCs w:val="17"/>
              </w:rPr>
            </w:pPr>
            <w:r>
              <w:rPr>
                <w:rFonts w:ascii="Arial" w:hAnsi="Arial" w:cs="Arial"/>
                <w:b/>
                <w:bCs/>
                <w:color w:val="000000"/>
                <w:sz w:val="17"/>
                <w:szCs w:val="17"/>
              </w:rPr>
              <w:t>176,769.73</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Pr="00EF0735" w:rsidRDefault="00AC322A">
            <w:pPr>
              <w:rPr>
                <w:rFonts w:ascii="Arial" w:hAnsi="Arial" w:cs="Arial"/>
                <w:color w:val="000000"/>
                <w:sz w:val="17"/>
                <w:szCs w:val="17"/>
              </w:rPr>
            </w:pPr>
            <w:r>
              <w:rPr>
                <w:rFonts w:ascii="Arial" w:hAnsi="Arial" w:cs="Arial"/>
                <w:color w:val="000000"/>
                <w:sz w:val="17"/>
                <w:szCs w:val="17"/>
              </w:rPr>
              <w:t>HSBC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Pr="009E066A" w:rsidRDefault="00AC322A">
            <w:pPr>
              <w:rPr>
                <w:rFonts w:ascii="Arial" w:hAnsi="Arial" w:cs="Arial"/>
                <w:b/>
                <w:bCs/>
                <w:color w:val="000000"/>
                <w:sz w:val="17"/>
                <w:szCs w:val="17"/>
              </w:rPr>
            </w:pPr>
            <w:r>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Default="00AC322A">
            <w:pPr>
              <w:jc w:val="right"/>
              <w:rPr>
                <w:rFonts w:ascii="Arial" w:hAnsi="Arial" w:cs="Arial"/>
                <w:b/>
                <w:bCs/>
                <w:color w:val="000000"/>
                <w:sz w:val="17"/>
                <w:szCs w:val="17"/>
              </w:rPr>
            </w:pPr>
            <w:r>
              <w:rPr>
                <w:rFonts w:ascii="Arial" w:hAnsi="Arial" w:cs="Arial"/>
                <w:b/>
                <w:bCs/>
                <w:color w:val="000000"/>
                <w:sz w:val="17"/>
                <w:szCs w:val="17"/>
              </w:rPr>
              <w:t>0</w:t>
            </w:r>
          </w:p>
        </w:tc>
      </w:tr>
      <w:tr w:rsidR="00640355" w:rsidRPr="002D70DA" w:rsidTr="00640355">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hideMark/>
          </w:tcPr>
          <w:p w:rsidR="00640355" w:rsidRPr="00EF0735" w:rsidRDefault="00AC322A">
            <w:pPr>
              <w:rPr>
                <w:rFonts w:ascii="Arial" w:hAnsi="Arial" w:cs="Arial"/>
                <w:color w:val="000000"/>
                <w:sz w:val="17"/>
                <w:szCs w:val="17"/>
              </w:rPr>
            </w:pPr>
            <w:r>
              <w:rPr>
                <w:rFonts w:ascii="Arial" w:hAnsi="Arial" w:cs="Arial"/>
                <w:color w:val="000000"/>
                <w:sz w:val="17"/>
                <w:szCs w:val="17"/>
              </w:rPr>
              <w:t>HSBC ETIQUETADO</w:t>
            </w:r>
          </w:p>
        </w:tc>
        <w:tc>
          <w:tcPr>
            <w:tcW w:w="2180" w:type="dxa"/>
            <w:tcBorders>
              <w:top w:val="nil"/>
              <w:left w:val="nil"/>
              <w:bottom w:val="single" w:sz="4" w:space="0" w:color="auto"/>
              <w:right w:val="single" w:sz="4" w:space="0" w:color="auto"/>
            </w:tcBorders>
            <w:shd w:val="clear" w:color="auto" w:fill="D5DCE4" w:themeFill="text2" w:themeFillTint="33"/>
            <w:hideMark/>
          </w:tcPr>
          <w:p w:rsidR="00640355" w:rsidRPr="009E066A" w:rsidRDefault="00AC322A">
            <w:pPr>
              <w:rPr>
                <w:rFonts w:ascii="Arial" w:hAnsi="Arial" w:cs="Arial"/>
                <w:b/>
                <w:bCs/>
                <w:color w:val="000000"/>
                <w:sz w:val="17"/>
                <w:szCs w:val="17"/>
              </w:rPr>
            </w:pPr>
            <w:r>
              <w:rPr>
                <w:rFonts w:ascii="Arial" w:hAnsi="Arial" w:cs="Arial"/>
                <w:b/>
                <w:bCs/>
                <w:color w:val="000000"/>
                <w:sz w:val="17"/>
                <w:szCs w:val="17"/>
              </w:rPr>
              <w:t>PROPIOS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0355" w:rsidRDefault="00AC322A">
            <w:pPr>
              <w:jc w:val="right"/>
              <w:rPr>
                <w:rFonts w:ascii="Arial" w:hAnsi="Arial" w:cs="Arial"/>
                <w:b/>
                <w:bCs/>
                <w:color w:val="000000"/>
                <w:sz w:val="17"/>
                <w:szCs w:val="17"/>
              </w:rPr>
            </w:pPr>
            <w:r>
              <w:rPr>
                <w:rFonts w:ascii="Arial" w:hAnsi="Arial" w:cs="Arial"/>
                <w:b/>
                <w:bCs/>
                <w:color w:val="000000"/>
                <w:sz w:val="17"/>
                <w:szCs w:val="17"/>
              </w:rPr>
              <w:t>57,223.70</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570AE1" w:rsidP="00AC32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51139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756556"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AC322A">
              <w:rPr>
                <w:rFonts w:ascii="Arial" w:hAnsi="Arial" w:cs="Arial"/>
                <w:b/>
                <w:bCs/>
                <w:color w:val="000000"/>
                <w:sz w:val="17"/>
                <w:szCs w:val="17"/>
              </w:rPr>
              <w:t>617,778.84</w:t>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AC322A">
              <w:rPr>
                <w:rFonts w:ascii="Arial" w:hAnsi="Arial" w:cs="Arial"/>
                <w:color w:val="000000"/>
                <w:sz w:val="17"/>
                <w:szCs w:val="17"/>
              </w:rPr>
              <w:t>BBVA INVERSION RIO ARRONTE</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4155FB">
            <w:pPr>
              <w:jc w:val="center"/>
              <w:rPr>
                <w:rFonts w:ascii="Arial" w:hAnsi="Arial" w:cs="Arial"/>
                <w:b/>
                <w:bCs/>
                <w:color w:val="000000"/>
                <w:sz w:val="17"/>
                <w:szCs w:val="17"/>
              </w:rPr>
            </w:pPr>
            <w:r>
              <w:rPr>
                <w:rFonts w:ascii="Arial" w:hAnsi="Arial" w:cs="Arial"/>
                <w:b/>
                <w:bCs/>
                <w:color w:val="000000"/>
                <w:sz w:val="17"/>
                <w:szCs w:val="17"/>
              </w:rPr>
              <w:t>PROPIO</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AC322A">
            <w:pPr>
              <w:jc w:val="right"/>
              <w:rPr>
                <w:rFonts w:ascii="Arial" w:hAnsi="Arial" w:cs="Arial"/>
                <w:b/>
                <w:bCs/>
                <w:color w:val="000000"/>
                <w:sz w:val="17"/>
                <w:szCs w:val="17"/>
              </w:rPr>
            </w:pPr>
            <w:r>
              <w:rPr>
                <w:rFonts w:ascii="Arial" w:hAnsi="Arial" w:cs="Arial"/>
                <w:b/>
                <w:bCs/>
                <w:color w:val="000000"/>
                <w:sz w:val="17"/>
                <w:szCs w:val="17"/>
              </w:rPr>
              <w:t>23.646.65</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AC322A">
            <w:pPr>
              <w:jc w:val="center"/>
              <w:rPr>
                <w:rFonts w:ascii="Arial" w:hAnsi="Arial" w:cs="Arial"/>
                <w:b/>
                <w:bCs/>
                <w:color w:val="000000"/>
                <w:sz w:val="17"/>
                <w:szCs w:val="17"/>
              </w:rPr>
            </w:pPr>
            <w:r>
              <w:rPr>
                <w:rFonts w:ascii="Arial" w:hAnsi="Arial" w:cs="Arial"/>
                <w:b/>
                <w:bCs/>
                <w:color w:val="000000"/>
                <w:sz w:val="17"/>
                <w:szCs w:val="17"/>
              </w:rPr>
              <w:t>3 MESES</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AC322A">
              <w:rPr>
                <w:rFonts w:ascii="Arial" w:hAnsi="Arial" w:cs="Arial"/>
                <w:color w:val="000000"/>
                <w:sz w:val="17"/>
                <w:szCs w:val="17"/>
              </w:rPr>
              <w:t>BBVA INVERSION PRODEP</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4155FB">
            <w:pPr>
              <w:jc w:val="center"/>
              <w:rPr>
                <w:rFonts w:ascii="Arial" w:hAnsi="Arial" w:cs="Arial"/>
                <w:b/>
                <w:bCs/>
                <w:color w:val="000000"/>
                <w:sz w:val="17"/>
                <w:szCs w:val="17"/>
              </w:rPr>
            </w:pPr>
            <w:r>
              <w:rPr>
                <w:rFonts w:ascii="Arial" w:hAnsi="Arial" w:cs="Arial"/>
                <w:b/>
                <w:bCs/>
                <w:color w:val="000000"/>
                <w:sz w:val="17"/>
                <w:szCs w:val="17"/>
              </w:rPr>
              <w:t>FEDERAL</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AC322A">
            <w:pPr>
              <w:jc w:val="right"/>
              <w:rPr>
                <w:rFonts w:ascii="Arial" w:hAnsi="Arial" w:cs="Arial"/>
                <w:b/>
                <w:bCs/>
                <w:color w:val="000000"/>
                <w:sz w:val="17"/>
                <w:szCs w:val="17"/>
              </w:rPr>
            </w:pPr>
            <w:r>
              <w:rPr>
                <w:rFonts w:ascii="Arial" w:hAnsi="Arial" w:cs="Arial"/>
                <w:b/>
                <w:bCs/>
                <w:color w:val="000000"/>
                <w:sz w:val="17"/>
                <w:szCs w:val="17"/>
              </w:rPr>
              <w:t>4</w:t>
            </w:r>
            <w:r w:rsidR="00C20589">
              <w:rPr>
                <w:rFonts w:ascii="Arial" w:hAnsi="Arial" w:cs="Arial"/>
                <w:b/>
                <w:bCs/>
                <w:color w:val="000000"/>
                <w:sz w:val="17"/>
                <w:szCs w:val="17"/>
              </w:rPr>
              <w:t>0</w:t>
            </w:r>
            <w:r>
              <w:rPr>
                <w:rFonts w:ascii="Arial" w:hAnsi="Arial" w:cs="Arial"/>
                <w:b/>
                <w:bCs/>
                <w:color w:val="000000"/>
                <w:sz w:val="17"/>
                <w:szCs w:val="17"/>
              </w:rPr>
              <w:t>6,529.21</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AC322A">
            <w:pPr>
              <w:jc w:val="center"/>
              <w:rPr>
                <w:rFonts w:ascii="Arial" w:hAnsi="Arial" w:cs="Arial"/>
                <w:b/>
                <w:bCs/>
                <w:color w:val="000000"/>
                <w:sz w:val="17"/>
                <w:szCs w:val="17"/>
              </w:rPr>
            </w:pPr>
            <w:r>
              <w:rPr>
                <w:rFonts w:ascii="Arial" w:hAnsi="Arial" w:cs="Arial"/>
                <w:b/>
                <w:bCs/>
                <w:color w:val="000000"/>
                <w:sz w:val="17"/>
                <w:szCs w:val="17"/>
              </w:rPr>
              <w:t>3 MESES</w:t>
            </w:r>
            <w:r w:rsidR="00511394" w:rsidRPr="002D70DA">
              <w:rPr>
                <w:rFonts w:ascii="Arial" w:hAnsi="Arial" w:cs="Arial"/>
                <w:b/>
                <w:bCs/>
                <w:color w:val="000000"/>
                <w:sz w:val="17"/>
                <w:szCs w:val="17"/>
              </w:rPr>
              <w:t> </w:t>
            </w:r>
          </w:p>
        </w:tc>
      </w:tr>
      <w:tr w:rsidR="00AC322A" w:rsidRPr="002D70DA" w:rsidTr="004155FB">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322A" w:rsidRPr="002D70DA" w:rsidRDefault="00AC322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BBVA INVERSION CONACYT</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C322A" w:rsidRPr="002D70DA" w:rsidRDefault="004155FB">
            <w:pPr>
              <w:jc w:val="center"/>
              <w:rPr>
                <w:rFonts w:ascii="Arial" w:hAnsi="Arial" w:cs="Arial"/>
                <w:b/>
                <w:bCs/>
                <w:color w:val="000000"/>
                <w:sz w:val="17"/>
                <w:szCs w:val="17"/>
              </w:rPr>
            </w:pPr>
            <w:r>
              <w:rPr>
                <w:rFonts w:ascii="Arial" w:hAnsi="Arial" w:cs="Arial"/>
                <w:b/>
                <w:bCs/>
                <w:color w:val="000000"/>
                <w:sz w:val="17"/>
                <w:szCs w:val="17"/>
              </w:rPr>
              <w:t>FEDERAL</w:t>
            </w:r>
            <w:r w:rsidR="00AC322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C322A" w:rsidRPr="002D70DA" w:rsidRDefault="00AC322A">
            <w:pPr>
              <w:jc w:val="right"/>
              <w:rPr>
                <w:rFonts w:ascii="Arial" w:hAnsi="Arial" w:cs="Arial"/>
                <w:b/>
                <w:bCs/>
                <w:color w:val="000000"/>
                <w:sz w:val="17"/>
                <w:szCs w:val="17"/>
              </w:rPr>
            </w:pPr>
            <w:r>
              <w:rPr>
                <w:rFonts w:ascii="Arial" w:hAnsi="Arial" w:cs="Arial"/>
                <w:b/>
                <w:bCs/>
                <w:color w:val="000000"/>
                <w:sz w:val="17"/>
                <w:szCs w:val="17"/>
              </w:rPr>
              <w:t>17,346.47</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AC322A" w:rsidRDefault="00AC322A" w:rsidP="00AC322A">
            <w:pPr>
              <w:jc w:val="center"/>
            </w:pPr>
            <w:r w:rsidRPr="00EF41F2">
              <w:rPr>
                <w:rFonts w:ascii="Arial" w:hAnsi="Arial" w:cs="Arial"/>
                <w:b/>
                <w:bCs/>
                <w:color w:val="000000"/>
                <w:sz w:val="17"/>
                <w:szCs w:val="17"/>
              </w:rPr>
              <w:t>3 MESES</w:t>
            </w:r>
          </w:p>
        </w:tc>
      </w:tr>
      <w:tr w:rsidR="00AC322A" w:rsidRPr="002D70DA" w:rsidTr="004155FB">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322A" w:rsidRPr="002D70DA" w:rsidRDefault="00AC322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BBVA INVERSION CNBES-BEC</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C322A" w:rsidRPr="002D70DA" w:rsidRDefault="00AC322A">
            <w:pPr>
              <w:jc w:val="center"/>
              <w:rPr>
                <w:rFonts w:ascii="Arial" w:hAnsi="Arial" w:cs="Arial"/>
                <w:b/>
                <w:bCs/>
                <w:color w:val="000000"/>
                <w:sz w:val="17"/>
                <w:szCs w:val="17"/>
              </w:rPr>
            </w:pPr>
            <w:r w:rsidRPr="002D70DA">
              <w:rPr>
                <w:rFonts w:ascii="Arial" w:hAnsi="Arial" w:cs="Arial"/>
                <w:b/>
                <w:bCs/>
                <w:color w:val="000000"/>
                <w:sz w:val="17"/>
                <w:szCs w:val="17"/>
              </w:rPr>
              <w:t> </w:t>
            </w:r>
            <w:r w:rsidR="004155FB">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C322A" w:rsidRPr="002D70DA" w:rsidRDefault="00AC322A">
            <w:pPr>
              <w:jc w:val="right"/>
              <w:rPr>
                <w:rFonts w:ascii="Arial" w:hAnsi="Arial" w:cs="Arial"/>
                <w:b/>
                <w:bCs/>
                <w:color w:val="000000"/>
                <w:sz w:val="17"/>
                <w:szCs w:val="17"/>
              </w:rPr>
            </w:pPr>
            <w:r>
              <w:rPr>
                <w:rFonts w:ascii="Arial" w:hAnsi="Arial" w:cs="Arial"/>
                <w:b/>
                <w:bCs/>
                <w:color w:val="000000"/>
                <w:sz w:val="17"/>
                <w:szCs w:val="17"/>
              </w:rPr>
              <w:t>14,538,197.17</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AC322A" w:rsidRDefault="00AC322A" w:rsidP="00AC322A">
            <w:pPr>
              <w:jc w:val="center"/>
            </w:pPr>
            <w:r w:rsidRPr="00EF41F2">
              <w:rPr>
                <w:rFonts w:ascii="Arial" w:hAnsi="Arial" w:cs="Arial"/>
                <w:b/>
                <w:bCs/>
                <w:color w:val="000000"/>
                <w:sz w:val="17"/>
                <w:szCs w:val="17"/>
              </w:rPr>
              <w:t>3 MESES</w:t>
            </w:r>
          </w:p>
        </w:tc>
      </w:tr>
      <w:tr w:rsidR="00AC322A" w:rsidRPr="002D70DA" w:rsidTr="004155FB">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322A" w:rsidRPr="002D70DA" w:rsidRDefault="00AC322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BBVA INVERSION PRODEP 2017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C322A" w:rsidRPr="002D70DA" w:rsidRDefault="004155FB">
            <w:pPr>
              <w:jc w:val="center"/>
              <w:rPr>
                <w:rFonts w:ascii="Arial" w:hAnsi="Arial" w:cs="Arial"/>
                <w:b/>
                <w:bCs/>
                <w:color w:val="000000"/>
                <w:sz w:val="17"/>
                <w:szCs w:val="17"/>
              </w:rPr>
            </w:pPr>
            <w:r>
              <w:rPr>
                <w:rFonts w:ascii="Arial" w:hAnsi="Arial" w:cs="Arial"/>
                <w:b/>
                <w:bCs/>
                <w:color w:val="000000"/>
                <w:sz w:val="17"/>
                <w:szCs w:val="17"/>
              </w:rPr>
              <w:t>FEDERAL</w:t>
            </w:r>
            <w:r w:rsidR="00AC322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C322A" w:rsidRPr="002D70DA" w:rsidRDefault="00AC322A">
            <w:pPr>
              <w:jc w:val="right"/>
              <w:rPr>
                <w:rFonts w:ascii="Arial" w:hAnsi="Arial" w:cs="Arial"/>
                <w:b/>
                <w:bCs/>
                <w:color w:val="000000"/>
                <w:sz w:val="17"/>
                <w:szCs w:val="17"/>
              </w:rPr>
            </w:pPr>
            <w:r>
              <w:rPr>
                <w:rFonts w:ascii="Arial" w:hAnsi="Arial" w:cs="Arial"/>
                <w:b/>
                <w:bCs/>
                <w:color w:val="000000"/>
                <w:sz w:val="17"/>
                <w:szCs w:val="17"/>
              </w:rPr>
              <w:t>866,693.91</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AC322A" w:rsidRDefault="00AC322A" w:rsidP="00AC322A">
            <w:pPr>
              <w:jc w:val="center"/>
            </w:pPr>
            <w:r w:rsidRPr="00EF41F2">
              <w:rPr>
                <w:rFonts w:ascii="Arial" w:hAnsi="Arial" w:cs="Arial"/>
                <w:b/>
                <w:bCs/>
                <w:color w:val="000000"/>
                <w:sz w:val="17"/>
                <w:szCs w:val="17"/>
              </w:rPr>
              <w:t>3 MESES</w:t>
            </w:r>
          </w:p>
        </w:tc>
      </w:tr>
      <w:tr w:rsidR="00AC322A" w:rsidRPr="002D70DA" w:rsidTr="004155FB">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322A" w:rsidRPr="002D70DA" w:rsidRDefault="00AC322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BBVA INVERSION TRANSFERENCIA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C322A" w:rsidRPr="002D70DA" w:rsidRDefault="004155FB">
            <w:pPr>
              <w:jc w:val="center"/>
              <w:rPr>
                <w:rFonts w:ascii="Arial" w:hAnsi="Arial" w:cs="Arial"/>
                <w:b/>
                <w:bCs/>
                <w:color w:val="000000"/>
                <w:sz w:val="17"/>
                <w:szCs w:val="17"/>
              </w:rPr>
            </w:pPr>
            <w:r>
              <w:rPr>
                <w:rFonts w:ascii="Arial" w:hAnsi="Arial" w:cs="Arial"/>
                <w:b/>
                <w:bCs/>
                <w:color w:val="000000"/>
                <w:sz w:val="17"/>
                <w:szCs w:val="17"/>
              </w:rPr>
              <w:t>ESTATAL</w:t>
            </w:r>
            <w:r w:rsidR="00AC322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C322A" w:rsidRPr="002D70DA" w:rsidRDefault="00AC322A">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AC322A" w:rsidRDefault="00AC322A" w:rsidP="00AC322A">
            <w:pPr>
              <w:jc w:val="center"/>
            </w:pPr>
            <w:r w:rsidRPr="00EF41F2">
              <w:rPr>
                <w:rFonts w:ascii="Arial" w:hAnsi="Arial" w:cs="Arial"/>
                <w:b/>
                <w:bCs/>
                <w:color w:val="000000"/>
                <w:sz w:val="17"/>
                <w:szCs w:val="17"/>
              </w:rPr>
              <w:t>3 MESES</w:t>
            </w:r>
          </w:p>
        </w:tc>
      </w:tr>
      <w:tr w:rsidR="00AC322A" w:rsidRPr="002D70DA" w:rsidTr="004155FB">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322A" w:rsidRPr="002D70DA" w:rsidRDefault="00AC322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BBVA INVERSION FUMEEUC</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C322A" w:rsidRPr="002D70DA" w:rsidRDefault="004155FB">
            <w:pPr>
              <w:jc w:val="center"/>
              <w:rPr>
                <w:rFonts w:ascii="Arial" w:hAnsi="Arial" w:cs="Arial"/>
                <w:b/>
                <w:bCs/>
                <w:color w:val="000000"/>
                <w:sz w:val="17"/>
                <w:szCs w:val="17"/>
              </w:rPr>
            </w:pPr>
            <w:r>
              <w:rPr>
                <w:rFonts w:ascii="Arial" w:hAnsi="Arial" w:cs="Arial"/>
                <w:b/>
                <w:bCs/>
                <w:color w:val="000000"/>
                <w:sz w:val="17"/>
                <w:szCs w:val="17"/>
              </w:rPr>
              <w:t>PROPIOS</w:t>
            </w:r>
            <w:r w:rsidR="00AC322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C322A" w:rsidRPr="002D70DA" w:rsidRDefault="00AC322A">
            <w:pPr>
              <w:jc w:val="right"/>
              <w:rPr>
                <w:rFonts w:ascii="Arial" w:hAnsi="Arial" w:cs="Arial"/>
                <w:b/>
                <w:bCs/>
                <w:color w:val="000000"/>
                <w:sz w:val="17"/>
                <w:szCs w:val="17"/>
              </w:rPr>
            </w:pPr>
            <w:r>
              <w:rPr>
                <w:rFonts w:ascii="Arial" w:hAnsi="Arial" w:cs="Arial"/>
                <w:b/>
                <w:bCs/>
                <w:color w:val="000000"/>
                <w:sz w:val="17"/>
                <w:szCs w:val="17"/>
              </w:rPr>
              <w:t>171,910.74</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AC322A" w:rsidRDefault="00AC322A" w:rsidP="00AC322A">
            <w:pPr>
              <w:jc w:val="center"/>
            </w:pPr>
            <w:r w:rsidRPr="00EF41F2">
              <w:rPr>
                <w:rFonts w:ascii="Arial" w:hAnsi="Arial" w:cs="Arial"/>
                <w:b/>
                <w:bCs/>
                <w:color w:val="000000"/>
                <w:sz w:val="17"/>
                <w:szCs w:val="17"/>
              </w:rPr>
              <w:t>3 MESES</w:t>
            </w:r>
          </w:p>
        </w:tc>
      </w:tr>
      <w:tr w:rsidR="00AC322A" w:rsidRPr="002D70DA" w:rsidTr="004155FB">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C322A" w:rsidRPr="002D70DA" w:rsidRDefault="00AC322A" w:rsidP="00AC322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HSBC INVERSION NUEVOS TALENTOS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C322A" w:rsidRPr="002D70DA" w:rsidRDefault="00AC322A">
            <w:pPr>
              <w:jc w:val="center"/>
              <w:rPr>
                <w:rFonts w:ascii="Arial" w:hAnsi="Arial" w:cs="Arial"/>
                <w:b/>
                <w:bCs/>
                <w:color w:val="000000"/>
                <w:sz w:val="17"/>
                <w:szCs w:val="17"/>
              </w:rPr>
            </w:pPr>
            <w:r w:rsidRPr="002D70DA">
              <w:rPr>
                <w:rFonts w:ascii="Arial" w:hAnsi="Arial" w:cs="Arial"/>
                <w:b/>
                <w:bCs/>
                <w:color w:val="000000"/>
                <w:sz w:val="17"/>
                <w:szCs w:val="17"/>
              </w:rPr>
              <w:t> </w:t>
            </w:r>
            <w:r w:rsidR="004155FB">
              <w:rPr>
                <w:rFonts w:ascii="Arial" w:hAnsi="Arial" w:cs="Arial"/>
                <w:b/>
                <w:bCs/>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C322A" w:rsidRPr="002D70DA" w:rsidRDefault="00AC322A">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hideMark/>
          </w:tcPr>
          <w:p w:rsidR="00AC322A" w:rsidRDefault="00AC322A" w:rsidP="00AC322A">
            <w:pPr>
              <w:jc w:val="center"/>
            </w:pPr>
            <w:r w:rsidRPr="00EF41F2">
              <w:rPr>
                <w:rFonts w:ascii="Arial" w:hAnsi="Arial" w:cs="Arial"/>
                <w:b/>
                <w:bCs/>
                <w:color w:val="000000"/>
                <w:sz w:val="17"/>
                <w:szCs w:val="17"/>
              </w:rPr>
              <w:t>3 MESES</w:t>
            </w:r>
          </w:p>
        </w:tc>
      </w:tr>
      <w:tr w:rsidR="00511394" w:rsidRPr="00AC322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AC322A" w:rsidRDefault="00511394">
            <w:pPr>
              <w:rPr>
                <w:rFonts w:ascii="Arial" w:hAnsi="Arial" w:cs="Arial"/>
                <w:color w:val="000000"/>
                <w:sz w:val="17"/>
                <w:szCs w:val="17"/>
                <w:lang w:val="en-US"/>
              </w:rPr>
            </w:pPr>
            <w:r w:rsidRPr="00AC322A">
              <w:rPr>
                <w:rFonts w:ascii="Arial" w:hAnsi="Arial" w:cs="Arial"/>
                <w:color w:val="000000"/>
                <w:sz w:val="17"/>
                <w:szCs w:val="17"/>
                <w:lang w:val="en-US"/>
              </w:rPr>
              <w:t> </w:t>
            </w:r>
            <w:r w:rsidR="00AC322A" w:rsidRPr="00AC322A">
              <w:rPr>
                <w:rFonts w:ascii="Arial" w:hAnsi="Arial" w:cs="Arial"/>
                <w:color w:val="000000"/>
                <w:sz w:val="17"/>
                <w:szCs w:val="17"/>
                <w:lang w:val="en-US"/>
              </w:rPr>
              <w:t>HSCB INV GREEN AND BLUE</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AC322A" w:rsidRDefault="00511394">
            <w:pPr>
              <w:jc w:val="center"/>
              <w:rPr>
                <w:rFonts w:ascii="Arial" w:hAnsi="Arial" w:cs="Arial"/>
                <w:b/>
                <w:bCs/>
                <w:color w:val="000000"/>
                <w:sz w:val="17"/>
                <w:szCs w:val="17"/>
                <w:lang w:val="en-US"/>
              </w:rPr>
            </w:pPr>
            <w:r w:rsidRPr="00AC322A">
              <w:rPr>
                <w:rFonts w:ascii="Arial" w:hAnsi="Arial" w:cs="Arial"/>
                <w:b/>
                <w:bCs/>
                <w:color w:val="000000"/>
                <w:sz w:val="17"/>
                <w:szCs w:val="17"/>
                <w:lang w:val="en-US"/>
              </w:rPr>
              <w:t> </w:t>
            </w:r>
            <w:r w:rsidR="004155FB">
              <w:rPr>
                <w:rFonts w:ascii="Arial" w:hAnsi="Arial" w:cs="Arial"/>
                <w:b/>
                <w:bCs/>
                <w:color w:val="000000"/>
                <w:sz w:val="17"/>
                <w:szCs w:val="17"/>
                <w:lang w:val="en-US"/>
              </w:rPr>
              <w:t>PROPIOS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AC322A" w:rsidRDefault="00AC322A">
            <w:pPr>
              <w:jc w:val="right"/>
              <w:rPr>
                <w:rFonts w:ascii="Arial" w:hAnsi="Arial" w:cs="Arial"/>
                <w:b/>
                <w:bCs/>
                <w:color w:val="000000"/>
                <w:sz w:val="17"/>
                <w:szCs w:val="17"/>
                <w:lang w:val="en-US"/>
              </w:rPr>
            </w:pPr>
            <w:r>
              <w:rPr>
                <w:rFonts w:ascii="Arial" w:hAnsi="Arial" w:cs="Arial"/>
                <w:b/>
                <w:bCs/>
                <w:color w:val="000000"/>
                <w:sz w:val="17"/>
                <w:szCs w:val="17"/>
                <w:lang w:val="en-US"/>
              </w:rPr>
              <w:t>0</w:t>
            </w:r>
            <w:r w:rsidR="00511394" w:rsidRPr="00AC322A">
              <w:rPr>
                <w:rFonts w:ascii="Arial" w:hAnsi="Arial" w:cs="Arial"/>
                <w:b/>
                <w:bCs/>
                <w:color w:val="000000"/>
                <w:sz w:val="17"/>
                <w:szCs w:val="17"/>
                <w:lang w:val="en-US"/>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AC322A" w:rsidRDefault="00C20589">
            <w:pPr>
              <w:jc w:val="center"/>
              <w:rPr>
                <w:rFonts w:ascii="Arial" w:hAnsi="Arial" w:cs="Arial"/>
                <w:b/>
                <w:bCs/>
                <w:color w:val="000000"/>
                <w:sz w:val="17"/>
                <w:szCs w:val="17"/>
                <w:lang w:val="en-US"/>
              </w:rPr>
            </w:pPr>
            <w:r w:rsidRPr="00EF41F2">
              <w:rPr>
                <w:rFonts w:ascii="Arial" w:hAnsi="Arial" w:cs="Arial"/>
                <w:b/>
                <w:bCs/>
                <w:color w:val="000000"/>
                <w:sz w:val="17"/>
                <w:szCs w:val="17"/>
              </w:rPr>
              <w:t>3 MESES</w:t>
            </w:r>
            <w:r w:rsidR="00511394" w:rsidRPr="00AC322A">
              <w:rPr>
                <w:rFonts w:ascii="Arial" w:hAnsi="Arial" w:cs="Arial"/>
                <w:b/>
                <w:bCs/>
                <w:color w:val="000000"/>
                <w:sz w:val="17"/>
                <w:szCs w:val="17"/>
                <w:lang w:val="en-US"/>
              </w:rPr>
              <w:t> </w:t>
            </w:r>
          </w:p>
        </w:tc>
      </w:tr>
      <w:tr w:rsidR="00511394" w:rsidRPr="00AC322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AC322A" w:rsidRDefault="00511394">
            <w:pPr>
              <w:rPr>
                <w:rFonts w:ascii="Arial" w:hAnsi="Arial" w:cs="Arial"/>
                <w:color w:val="000000"/>
                <w:sz w:val="17"/>
                <w:szCs w:val="17"/>
                <w:lang w:val="en-US"/>
              </w:rPr>
            </w:pPr>
            <w:r w:rsidRPr="00AC322A">
              <w:rPr>
                <w:rFonts w:ascii="Arial" w:hAnsi="Arial" w:cs="Arial"/>
                <w:color w:val="000000"/>
                <w:sz w:val="17"/>
                <w:szCs w:val="17"/>
                <w:lang w:val="en-US"/>
              </w:rPr>
              <w:t> </w:t>
            </w:r>
            <w:r w:rsidR="00C20589">
              <w:rPr>
                <w:rFonts w:ascii="Arial" w:hAnsi="Arial" w:cs="Arial"/>
                <w:color w:val="000000"/>
                <w:sz w:val="17"/>
                <w:szCs w:val="17"/>
                <w:lang w:val="en-US"/>
              </w:rPr>
              <w:t>HSCB INVERSION PROPIOS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AC322A" w:rsidRDefault="004155FB">
            <w:pPr>
              <w:jc w:val="center"/>
              <w:rPr>
                <w:rFonts w:ascii="Arial" w:hAnsi="Arial" w:cs="Arial"/>
                <w:b/>
                <w:bCs/>
                <w:color w:val="000000"/>
                <w:sz w:val="17"/>
                <w:szCs w:val="17"/>
                <w:lang w:val="en-US"/>
              </w:rPr>
            </w:pPr>
            <w:r>
              <w:rPr>
                <w:rFonts w:ascii="Arial" w:hAnsi="Arial" w:cs="Arial"/>
                <w:b/>
                <w:bCs/>
                <w:color w:val="000000"/>
                <w:sz w:val="17"/>
                <w:szCs w:val="17"/>
                <w:lang w:val="en-US"/>
              </w:rPr>
              <w:t>PROPIOS</w:t>
            </w:r>
            <w:r w:rsidR="00511394" w:rsidRPr="00AC322A">
              <w:rPr>
                <w:rFonts w:ascii="Arial" w:hAnsi="Arial" w:cs="Arial"/>
                <w:b/>
                <w:bCs/>
                <w:color w:val="000000"/>
                <w:sz w:val="17"/>
                <w:szCs w:val="17"/>
                <w:lang w:val="en-US"/>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AC322A" w:rsidRDefault="00C20589">
            <w:pPr>
              <w:jc w:val="right"/>
              <w:rPr>
                <w:rFonts w:ascii="Arial" w:hAnsi="Arial" w:cs="Arial"/>
                <w:b/>
                <w:bCs/>
                <w:color w:val="000000"/>
                <w:sz w:val="17"/>
                <w:szCs w:val="17"/>
                <w:lang w:val="en-US"/>
              </w:rPr>
            </w:pPr>
            <w:r>
              <w:rPr>
                <w:rFonts w:ascii="Arial" w:hAnsi="Arial" w:cs="Arial"/>
                <w:b/>
                <w:bCs/>
                <w:color w:val="000000"/>
                <w:sz w:val="17"/>
                <w:szCs w:val="17"/>
                <w:lang w:val="en-US"/>
              </w:rPr>
              <w:t>3,501,558.63</w:t>
            </w:r>
            <w:r w:rsidR="00511394" w:rsidRPr="00AC322A">
              <w:rPr>
                <w:rFonts w:ascii="Arial" w:hAnsi="Arial" w:cs="Arial"/>
                <w:b/>
                <w:bCs/>
                <w:color w:val="000000"/>
                <w:sz w:val="17"/>
                <w:szCs w:val="17"/>
                <w:lang w:val="en-US"/>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AC322A" w:rsidRDefault="00C20589">
            <w:pPr>
              <w:jc w:val="center"/>
              <w:rPr>
                <w:rFonts w:ascii="Arial" w:hAnsi="Arial" w:cs="Arial"/>
                <w:b/>
                <w:bCs/>
                <w:color w:val="000000"/>
                <w:sz w:val="17"/>
                <w:szCs w:val="17"/>
                <w:lang w:val="en-US"/>
              </w:rPr>
            </w:pPr>
            <w:r w:rsidRPr="00EF41F2">
              <w:rPr>
                <w:rFonts w:ascii="Arial" w:hAnsi="Arial" w:cs="Arial"/>
                <w:b/>
                <w:bCs/>
                <w:color w:val="000000"/>
                <w:sz w:val="17"/>
                <w:szCs w:val="17"/>
              </w:rPr>
              <w:t>3 MESES</w:t>
            </w:r>
            <w:r w:rsidR="00511394" w:rsidRPr="00AC322A">
              <w:rPr>
                <w:rFonts w:ascii="Arial" w:hAnsi="Arial" w:cs="Arial"/>
                <w:b/>
                <w:bCs/>
                <w:color w:val="000000"/>
                <w:sz w:val="17"/>
                <w:szCs w:val="17"/>
                <w:lang w:val="en-US"/>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570AE1" w:rsidP="00C20589">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756556"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756556"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C20589">
              <w:rPr>
                <w:rFonts w:ascii="Arial" w:hAnsi="Arial" w:cs="Arial"/>
                <w:b/>
                <w:bCs/>
                <w:color w:val="000000"/>
                <w:sz w:val="17"/>
                <w:szCs w:val="17"/>
              </w:rPr>
              <w:t>19,525,882.78</w:t>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CC68C2" w:rsidRDefault="00CC68C2">
      <w:pPr>
        <w:rPr>
          <w:rFonts w:ascii="Arial" w:eastAsia="Calibri" w:hAnsi="Arial" w:cs="Arial"/>
          <w:b/>
          <w:spacing w:val="-1"/>
          <w:sz w:val="17"/>
          <w:szCs w:val="17"/>
        </w:rPr>
      </w:pPr>
      <w:r>
        <w:rPr>
          <w:rFonts w:ascii="Arial" w:eastAsia="Calibri" w:hAnsi="Arial" w:cs="Arial"/>
          <w:b/>
          <w:spacing w:val="-1"/>
          <w:sz w:val="17"/>
          <w:szCs w:val="17"/>
        </w:rPr>
        <w:br w:type="page"/>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27796A" w:rsidRPr="002D70DA">
        <w:rPr>
          <w:rFonts w:ascii="Arial" w:eastAsia="Calibri" w:hAnsi="Arial" w:cs="Arial"/>
          <w:spacing w:val="-1"/>
          <w:sz w:val="17"/>
          <w:szCs w:val="17"/>
        </w:rPr>
        <w:t>apartado</w:t>
      </w:r>
      <w:r w:rsidR="0027796A">
        <w:rPr>
          <w:rFonts w:ascii="Arial" w:eastAsia="Calibri" w:hAnsi="Arial" w:cs="Arial"/>
          <w:spacing w:val="-1"/>
          <w:sz w:val="17"/>
          <w:szCs w:val="17"/>
        </w:rPr>
        <w:t>, por</w:t>
      </w:r>
      <w:r w:rsidR="00756556" w:rsidRPr="002D70DA">
        <w:rPr>
          <w:rFonts w:ascii="Arial" w:eastAsia="Calibri" w:hAnsi="Arial" w:cs="Arial"/>
          <w:spacing w:val="-1"/>
          <w:sz w:val="17"/>
          <w:szCs w:val="17"/>
        </w:rPr>
        <w:t xml:space="preserve">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0021538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186" w:type="dxa"/>
        <w:jc w:val="center"/>
        <w:tblCellMar>
          <w:left w:w="70" w:type="dxa"/>
          <w:right w:w="70" w:type="dxa"/>
        </w:tblCellMar>
        <w:tblLook w:val="04A0" w:firstRow="1" w:lastRow="0" w:firstColumn="1" w:lastColumn="0" w:noHBand="0" w:noVBand="1"/>
      </w:tblPr>
      <w:tblGrid>
        <w:gridCol w:w="5787"/>
        <w:gridCol w:w="1108"/>
        <w:gridCol w:w="1549"/>
        <w:gridCol w:w="2704"/>
        <w:gridCol w:w="2038"/>
      </w:tblGrid>
      <w:tr w:rsidR="00C849DC" w:rsidRPr="002D70DA" w:rsidTr="00CC68C2">
        <w:trPr>
          <w:trHeight w:val="720"/>
          <w:jc w:val="center"/>
        </w:trPr>
        <w:tc>
          <w:tcPr>
            <w:tcW w:w="578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1108"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1549"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704"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038"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CC68C2">
        <w:trPr>
          <w:trHeight w:val="240"/>
          <w:jc w:val="center"/>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110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549"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704"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03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C68C2">
        <w:trPr>
          <w:trHeight w:val="240"/>
          <w:jc w:val="center"/>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110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549"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704"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03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C68C2">
        <w:trPr>
          <w:trHeight w:val="240"/>
          <w:jc w:val="center"/>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110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549"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704"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03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C68C2">
        <w:trPr>
          <w:trHeight w:val="240"/>
          <w:jc w:val="center"/>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110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549"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704"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03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C68C2">
        <w:trPr>
          <w:trHeight w:val="240"/>
          <w:jc w:val="center"/>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110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549"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704"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03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C68C2">
        <w:trPr>
          <w:trHeight w:val="240"/>
          <w:jc w:val="center"/>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110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549"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704"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03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C68C2">
        <w:trPr>
          <w:trHeight w:val="240"/>
          <w:jc w:val="center"/>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110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549"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704"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03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C68C2">
        <w:trPr>
          <w:trHeight w:val="240"/>
          <w:jc w:val="center"/>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110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549"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704"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03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C68C2">
        <w:trPr>
          <w:trHeight w:val="227"/>
          <w:jc w:val="center"/>
        </w:trPr>
        <w:tc>
          <w:tcPr>
            <w:tcW w:w="5787"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110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549"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704"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03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C68C2">
        <w:trPr>
          <w:trHeight w:val="240"/>
          <w:jc w:val="center"/>
        </w:trPr>
        <w:tc>
          <w:tcPr>
            <w:tcW w:w="5787"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1108"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1549"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570AE1" w:rsidP="001C747D">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52BD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952BDA"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1C747D">
              <w:rPr>
                <w:rFonts w:ascii="Arial" w:hAnsi="Arial" w:cs="Arial"/>
                <w:b/>
                <w:bCs/>
                <w:color w:val="000000"/>
                <w:sz w:val="17"/>
                <w:szCs w:val="17"/>
              </w:rPr>
              <w:t>105.24</w:t>
            </w:r>
          </w:p>
        </w:tc>
        <w:tc>
          <w:tcPr>
            <w:tcW w:w="2704"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038"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189" w:type="dxa"/>
        <w:jc w:val="center"/>
        <w:tblCellMar>
          <w:left w:w="70" w:type="dxa"/>
          <w:right w:w="70" w:type="dxa"/>
        </w:tblCellMar>
        <w:tblLook w:val="04A0" w:firstRow="1" w:lastRow="0" w:firstColumn="1" w:lastColumn="0" w:noHBand="0" w:noVBand="1"/>
      </w:tblPr>
      <w:tblGrid>
        <w:gridCol w:w="6829"/>
        <w:gridCol w:w="2180"/>
        <w:gridCol w:w="2180"/>
      </w:tblGrid>
      <w:tr w:rsidR="00952BDA" w:rsidRPr="002D70DA" w:rsidTr="00511782">
        <w:trPr>
          <w:trHeight w:val="693"/>
          <w:jc w:val="center"/>
        </w:trPr>
        <w:tc>
          <w:tcPr>
            <w:tcW w:w="682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511782">
        <w:trPr>
          <w:trHeight w:val="240"/>
          <w:jc w:val="center"/>
        </w:trPr>
        <w:tc>
          <w:tcPr>
            <w:tcW w:w="6829"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511782">
        <w:trPr>
          <w:trHeight w:val="240"/>
          <w:jc w:val="center"/>
        </w:trPr>
        <w:tc>
          <w:tcPr>
            <w:tcW w:w="6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1C747D" w:rsidP="00B13600">
            <w:pPr>
              <w:jc w:val="right"/>
              <w:rPr>
                <w:rFonts w:ascii="Arial" w:hAnsi="Arial" w:cs="Arial"/>
                <w:b/>
                <w:bCs/>
                <w:color w:val="000000"/>
                <w:sz w:val="17"/>
                <w:szCs w:val="17"/>
              </w:rPr>
            </w:pPr>
            <w:r>
              <w:rPr>
                <w:rFonts w:ascii="Arial" w:hAnsi="Arial" w:cs="Arial"/>
                <w:b/>
                <w:bCs/>
                <w:color w:val="000000"/>
                <w:sz w:val="17"/>
                <w:szCs w:val="17"/>
              </w:rPr>
              <w:t>980,757.29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1C747D" w:rsidP="00B13600">
            <w:pPr>
              <w:jc w:val="right"/>
              <w:rPr>
                <w:rFonts w:ascii="Arial" w:hAnsi="Arial" w:cs="Arial"/>
                <w:b/>
                <w:bCs/>
                <w:color w:val="000000"/>
                <w:sz w:val="17"/>
                <w:szCs w:val="17"/>
              </w:rPr>
            </w:pPr>
            <w:r>
              <w:rPr>
                <w:rFonts w:ascii="Arial" w:hAnsi="Arial" w:cs="Arial"/>
                <w:b/>
                <w:bCs/>
                <w:color w:val="000000"/>
                <w:sz w:val="17"/>
                <w:szCs w:val="17"/>
              </w:rPr>
              <w:t>127,296.60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27A83">
            <w:pPr>
              <w:jc w:val="right"/>
              <w:rPr>
                <w:rFonts w:ascii="Arial" w:hAnsi="Arial" w:cs="Arial"/>
                <w:b/>
                <w:bCs/>
                <w:color w:val="000000"/>
                <w:sz w:val="17"/>
                <w:szCs w:val="17"/>
              </w:rPr>
            </w:pPr>
            <w:r>
              <w:rPr>
                <w:rFonts w:ascii="Arial" w:hAnsi="Arial" w:cs="Arial"/>
                <w:b/>
                <w:bCs/>
                <w:color w:val="000000"/>
                <w:sz w:val="17"/>
                <w:szCs w:val="17"/>
              </w:rPr>
              <w:t>105.24</w:t>
            </w:r>
            <w:r w:rsidR="00952BD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570AE1" w:rsidP="00927A8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52BD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927A83">
              <w:rPr>
                <w:rFonts w:ascii="Arial" w:hAnsi="Arial" w:cs="Arial"/>
                <w:b/>
                <w:bCs/>
                <w:noProof/>
                <w:color w:val="000000"/>
                <w:sz w:val="17"/>
                <w:szCs w:val="17"/>
              </w:rPr>
              <w:t>1,108,159.13</w:t>
            </w:r>
            <w:r w:rsidR="005760D4">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511782">
        <w:trPr>
          <w:trHeight w:val="240"/>
          <w:jc w:val="center"/>
        </w:trPr>
        <w:tc>
          <w:tcPr>
            <w:tcW w:w="6829"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511782">
        <w:trPr>
          <w:trHeight w:val="240"/>
          <w:jc w:val="center"/>
        </w:trPr>
        <w:tc>
          <w:tcPr>
            <w:tcW w:w="6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lastRenderedPageBreak/>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570AE1">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511782">
        <w:trPr>
          <w:trHeight w:val="240"/>
          <w:jc w:val="center"/>
        </w:trPr>
        <w:tc>
          <w:tcPr>
            <w:tcW w:w="6829"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511782">
        <w:trPr>
          <w:trHeight w:val="240"/>
          <w:jc w:val="center"/>
        </w:trPr>
        <w:tc>
          <w:tcPr>
            <w:tcW w:w="6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570AE1">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511782">
        <w:trPr>
          <w:trHeight w:val="240"/>
          <w:jc w:val="center"/>
        </w:trPr>
        <w:tc>
          <w:tcPr>
            <w:tcW w:w="6829"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511782">
        <w:trPr>
          <w:trHeight w:val="240"/>
          <w:jc w:val="center"/>
        </w:trPr>
        <w:tc>
          <w:tcPr>
            <w:tcW w:w="6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11782">
        <w:trPr>
          <w:trHeight w:val="240"/>
          <w:jc w:val="center"/>
        </w:trPr>
        <w:tc>
          <w:tcPr>
            <w:tcW w:w="6829"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570AE1">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511782">
        <w:trPr>
          <w:trHeight w:val="240"/>
          <w:jc w:val="center"/>
        </w:trPr>
        <w:tc>
          <w:tcPr>
            <w:tcW w:w="6829"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570AE1" w:rsidP="001C747D">
            <w:pPr>
              <w:jc w:val="right"/>
              <w:rPr>
                <w:rFonts w:ascii="Arial" w:hAnsi="Arial" w:cs="Arial"/>
                <w:b/>
                <w:bCs/>
                <w:color w:val="000000"/>
                <w:sz w:val="17"/>
                <w:szCs w:val="17"/>
              </w:rPr>
            </w:pPr>
            <w:r>
              <w:rPr>
                <w:rFonts w:ascii="Arial" w:hAnsi="Arial" w:cs="Arial"/>
                <w:b/>
                <w:bCs/>
                <w:color w:val="000000"/>
                <w:sz w:val="17"/>
                <w:szCs w:val="17"/>
              </w:rPr>
              <w:fldChar w:fldCharType="begin"/>
            </w:r>
            <w:r w:rsidR="002B7F42">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xml:space="preserve">$  </w:t>
            </w:r>
            <w:r>
              <w:rPr>
                <w:rFonts w:ascii="Arial" w:hAnsi="Arial" w:cs="Arial"/>
                <w:b/>
                <w:bCs/>
                <w:color w:val="000000"/>
                <w:sz w:val="17"/>
                <w:szCs w:val="17"/>
              </w:rPr>
              <w:fldChar w:fldCharType="end"/>
            </w:r>
            <w:r w:rsidR="001C747D">
              <w:rPr>
                <w:rFonts w:ascii="Arial" w:hAnsi="Arial" w:cs="Arial"/>
                <w:b/>
                <w:bCs/>
                <w:color w:val="000000"/>
                <w:sz w:val="17"/>
                <w:szCs w:val="17"/>
              </w:rPr>
              <w:t>1,108,053.89</w:t>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272" w:type="dxa"/>
        <w:jc w:val="center"/>
        <w:tblCellMar>
          <w:left w:w="70" w:type="dxa"/>
          <w:right w:w="70" w:type="dxa"/>
        </w:tblCellMar>
        <w:tblLook w:val="04A0" w:firstRow="1" w:lastRow="0" w:firstColumn="1" w:lastColumn="0" w:noHBand="0" w:noVBand="1"/>
      </w:tblPr>
      <w:tblGrid>
        <w:gridCol w:w="7639"/>
        <w:gridCol w:w="1453"/>
        <w:gridCol w:w="2180"/>
      </w:tblGrid>
      <w:tr w:rsidR="00CE4092" w:rsidRPr="002D70DA" w:rsidTr="00511782">
        <w:trPr>
          <w:trHeight w:val="287"/>
          <w:jc w:val="center"/>
        </w:trPr>
        <w:tc>
          <w:tcPr>
            <w:tcW w:w="763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1453"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DB3CA6">
        <w:trPr>
          <w:trHeight w:val="240"/>
          <w:jc w:val="center"/>
        </w:trPr>
        <w:tc>
          <w:tcPr>
            <w:tcW w:w="7639"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1453"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511782" w:rsidTr="00511782">
        <w:trPr>
          <w:trHeight w:val="283"/>
          <w:jc w:val="center"/>
        </w:trPr>
        <w:tc>
          <w:tcPr>
            <w:tcW w:w="7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145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DB3CA6" w:rsidRDefault="00CE4092" w:rsidP="00DB3CA6">
            <w:pPr>
              <w:rPr>
                <w:rFonts w:ascii="Arial" w:hAnsi="Arial" w:cs="Arial"/>
                <w:color w:val="000000"/>
                <w:sz w:val="17"/>
                <w:szCs w:val="17"/>
              </w:rPr>
            </w:pPr>
            <w:r w:rsidRPr="00DB3CA6">
              <w:rPr>
                <w:rFonts w:ascii="Arial" w:hAnsi="Arial" w:cs="Arial"/>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DB3CA6" w:rsidRDefault="00CE4092" w:rsidP="00DB3CA6">
            <w:pPr>
              <w:rPr>
                <w:rFonts w:ascii="Arial" w:hAnsi="Arial" w:cs="Arial"/>
                <w:color w:val="000000"/>
                <w:sz w:val="17"/>
                <w:szCs w:val="17"/>
              </w:rPr>
            </w:pPr>
            <w:r w:rsidRPr="00DB3CA6">
              <w:rPr>
                <w:rFonts w:ascii="Arial" w:hAnsi="Arial" w:cs="Arial"/>
                <w:color w:val="000000"/>
                <w:sz w:val="17"/>
                <w:szCs w:val="17"/>
              </w:rPr>
              <w:t> </w:t>
            </w:r>
          </w:p>
        </w:tc>
      </w:tr>
      <w:tr w:rsidR="00CE4092" w:rsidRPr="00511782" w:rsidTr="00511782">
        <w:trPr>
          <w:trHeight w:val="283"/>
          <w:jc w:val="center"/>
        </w:trPr>
        <w:tc>
          <w:tcPr>
            <w:tcW w:w="7639"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1453" w:type="dxa"/>
            <w:tcBorders>
              <w:top w:val="nil"/>
              <w:left w:val="nil"/>
              <w:bottom w:val="single" w:sz="4" w:space="0" w:color="auto"/>
              <w:right w:val="single" w:sz="4" w:space="0" w:color="auto"/>
            </w:tcBorders>
            <w:shd w:val="clear" w:color="auto" w:fill="D5DCE4" w:themeFill="text2" w:themeFillTint="33"/>
            <w:vAlign w:val="center"/>
            <w:hideMark/>
          </w:tcPr>
          <w:p w:rsidR="00CE4092" w:rsidRPr="00DB3CA6" w:rsidRDefault="00CE4092" w:rsidP="00DB3CA6">
            <w:pPr>
              <w:rPr>
                <w:rFonts w:ascii="Arial" w:hAnsi="Arial" w:cs="Arial"/>
                <w:color w:val="000000"/>
                <w:sz w:val="17"/>
                <w:szCs w:val="17"/>
              </w:rPr>
            </w:pPr>
            <w:r w:rsidRPr="00DB3CA6">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DB3CA6" w:rsidRDefault="00CE4092" w:rsidP="00DB3CA6">
            <w:pPr>
              <w:rPr>
                <w:rFonts w:ascii="Arial" w:hAnsi="Arial" w:cs="Arial"/>
                <w:color w:val="000000"/>
                <w:sz w:val="17"/>
                <w:szCs w:val="17"/>
              </w:rPr>
            </w:pPr>
            <w:r w:rsidRPr="00DB3CA6">
              <w:rPr>
                <w:rFonts w:ascii="Arial" w:hAnsi="Arial" w:cs="Arial"/>
                <w:color w:val="000000"/>
                <w:sz w:val="17"/>
                <w:szCs w:val="17"/>
              </w:rPr>
              <w:t> </w:t>
            </w:r>
          </w:p>
        </w:tc>
      </w:tr>
      <w:tr w:rsidR="00CE4092" w:rsidRPr="00511782" w:rsidTr="00511782">
        <w:trPr>
          <w:trHeight w:val="283"/>
          <w:jc w:val="center"/>
        </w:trPr>
        <w:tc>
          <w:tcPr>
            <w:tcW w:w="7639"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145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7796A" w:rsidRDefault="00CE4092" w:rsidP="0027796A">
            <w:pPr>
              <w:rPr>
                <w:rFonts w:ascii="Arial" w:hAnsi="Arial" w:cs="Arial"/>
                <w:color w:val="000000"/>
                <w:sz w:val="17"/>
                <w:szCs w:val="17"/>
              </w:rPr>
            </w:pPr>
            <w:r w:rsidRPr="0027796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7796A" w:rsidRDefault="00CE4092" w:rsidP="0027796A">
            <w:pPr>
              <w:rPr>
                <w:rFonts w:ascii="Arial" w:hAnsi="Arial" w:cs="Arial"/>
                <w:color w:val="000000"/>
                <w:sz w:val="17"/>
                <w:szCs w:val="17"/>
              </w:rPr>
            </w:pPr>
            <w:r w:rsidRPr="0027796A">
              <w:rPr>
                <w:rFonts w:ascii="Arial" w:hAnsi="Arial" w:cs="Arial"/>
                <w:color w:val="000000"/>
                <w:sz w:val="17"/>
                <w:szCs w:val="17"/>
              </w:rPr>
              <w:t> </w:t>
            </w:r>
          </w:p>
        </w:tc>
      </w:tr>
      <w:tr w:rsidR="00CE4092" w:rsidRPr="002D70DA" w:rsidTr="00DB3CA6">
        <w:trPr>
          <w:trHeight w:val="240"/>
          <w:jc w:val="center"/>
        </w:trPr>
        <w:tc>
          <w:tcPr>
            <w:tcW w:w="7639"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145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DB3CA6">
        <w:trPr>
          <w:trHeight w:val="240"/>
          <w:jc w:val="center"/>
        </w:trPr>
        <w:tc>
          <w:tcPr>
            <w:tcW w:w="7639"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145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DB3CA6">
        <w:trPr>
          <w:trHeight w:val="240"/>
          <w:jc w:val="center"/>
        </w:trPr>
        <w:tc>
          <w:tcPr>
            <w:tcW w:w="7639"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1453"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570AE1">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CE409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DB3CA6">
        <w:trPr>
          <w:trHeight w:val="240"/>
          <w:jc w:val="center"/>
        </w:trPr>
        <w:tc>
          <w:tcPr>
            <w:tcW w:w="7639"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1453"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511782">
        <w:trPr>
          <w:trHeight w:val="283"/>
          <w:jc w:val="center"/>
        </w:trPr>
        <w:tc>
          <w:tcPr>
            <w:tcW w:w="7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145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511782">
        <w:trPr>
          <w:trHeight w:val="283"/>
          <w:jc w:val="center"/>
        </w:trPr>
        <w:tc>
          <w:tcPr>
            <w:tcW w:w="7639"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145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511782">
        <w:trPr>
          <w:trHeight w:val="283"/>
          <w:jc w:val="center"/>
        </w:trPr>
        <w:tc>
          <w:tcPr>
            <w:tcW w:w="7639"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145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DB3CA6">
        <w:trPr>
          <w:trHeight w:val="240"/>
          <w:jc w:val="center"/>
        </w:trPr>
        <w:tc>
          <w:tcPr>
            <w:tcW w:w="7639"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CONTRATISTAS POR OBRAS PUBLICAS</w:t>
            </w:r>
          </w:p>
        </w:tc>
        <w:tc>
          <w:tcPr>
            <w:tcW w:w="145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DB3CA6">
        <w:trPr>
          <w:trHeight w:val="240"/>
          <w:jc w:val="center"/>
        </w:trPr>
        <w:tc>
          <w:tcPr>
            <w:tcW w:w="7639"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145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DB3CA6">
        <w:trPr>
          <w:trHeight w:val="240"/>
          <w:jc w:val="center"/>
        </w:trPr>
        <w:tc>
          <w:tcPr>
            <w:tcW w:w="7639"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1453"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570AE1">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CE409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DB3CA6">
        <w:trPr>
          <w:trHeight w:val="240"/>
          <w:jc w:val="center"/>
        </w:trPr>
        <w:tc>
          <w:tcPr>
            <w:tcW w:w="7639"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1453"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464F2B">
        <w:trPr>
          <w:trHeight w:val="238"/>
          <w:jc w:val="center"/>
        </w:trPr>
        <w:tc>
          <w:tcPr>
            <w:tcW w:w="7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145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464F2B">
        <w:trPr>
          <w:trHeight w:val="238"/>
          <w:jc w:val="center"/>
        </w:trPr>
        <w:tc>
          <w:tcPr>
            <w:tcW w:w="7639"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145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464F2B">
        <w:trPr>
          <w:trHeight w:val="238"/>
          <w:jc w:val="center"/>
        </w:trPr>
        <w:tc>
          <w:tcPr>
            <w:tcW w:w="7639"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145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DB3CA6">
        <w:trPr>
          <w:trHeight w:val="240"/>
          <w:jc w:val="center"/>
        </w:trPr>
        <w:tc>
          <w:tcPr>
            <w:tcW w:w="7639"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145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DB3CA6">
        <w:trPr>
          <w:trHeight w:val="240"/>
          <w:jc w:val="center"/>
        </w:trPr>
        <w:tc>
          <w:tcPr>
            <w:tcW w:w="7639"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145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DB3CA6">
        <w:trPr>
          <w:trHeight w:val="240"/>
          <w:jc w:val="center"/>
        </w:trPr>
        <w:tc>
          <w:tcPr>
            <w:tcW w:w="7639"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1453"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570AE1">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CE409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DB3CA6">
        <w:trPr>
          <w:trHeight w:val="240"/>
          <w:jc w:val="center"/>
        </w:trPr>
        <w:tc>
          <w:tcPr>
            <w:tcW w:w="7639"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1453"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2081" w:type="dxa"/>
        <w:jc w:val="center"/>
        <w:tblCellMar>
          <w:left w:w="70" w:type="dxa"/>
          <w:right w:w="70" w:type="dxa"/>
        </w:tblCellMar>
        <w:tblLook w:val="04A0" w:firstRow="1" w:lastRow="0" w:firstColumn="1" w:lastColumn="0" w:noHBand="0" w:noVBand="1"/>
      </w:tblPr>
      <w:tblGrid>
        <w:gridCol w:w="6485"/>
        <w:gridCol w:w="1094"/>
        <w:gridCol w:w="142"/>
        <w:gridCol w:w="2038"/>
        <w:gridCol w:w="142"/>
        <w:gridCol w:w="2038"/>
        <w:gridCol w:w="142"/>
      </w:tblGrid>
      <w:tr w:rsidR="00B13600" w:rsidRPr="002D70DA" w:rsidTr="00DB3CA6">
        <w:trPr>
          <w:trHeight w:val="480"/>
          <w:jc w:val="center"/>
        </w:trPr>
        <w:tc>
          <w:tcPr>
            <w:tcW w:w="648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1236" w:type="dxa"/>
            <w:gridSpan w:val="2"/>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gridSpan w:val="2"/>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gridSpan w:val="2"/>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DB3CA6">
        <w:trPr>
          <w:gridAfter w:val="1"/>
          <w:wAfter w:w="142" w:type="dxa"/>
          <w:trHeight w:val="480"/>
          <w:jc w:val="center"/>
        </w:trPr>
        <w:tc>
          <w:tcPr>
            <w:tcW w:w="6485"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1094"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DB3CA6">
        <w:trPr>
          <w:gridAfter w:val="1"/>
          <w:wAfter w:w="142" w:type="dxa"/>
          <w:trHeight w:val="240"/>
          <w:jc w:val="center"/>
        </w:trPr>
        <w:tc>
          <w:tcPr>
            <w:tcW w:w="6485"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1094"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464F2B">
        <w:trPr>
          <w:gridAfter w:val="1"/>
          <w:wAfter w:w="142" w:type="dxa"/>
          <w:trHeight w:val="238"/>
          <w:jc w:val="center"/>
        </w:trPr>
        <w:tc>
          <w:tcPr>
            <w:tcW w:w="6485"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1094"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464F2B">
        <w:trPr>
          <w:gridAfter w:val="1"/>
          <w:wAfter w:w="142" w:type="dxa"/>
          <w:trHeight w:val="238"/>
          <w:jc w:val="center"/>
        </w:trPr>
        <w:tc>
          <w:tcPr>
            <w:tcW w:w="6485"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1094"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DB3CA6">
        <w:trPr>
          <w:gridAfter w:val="1"/>
          <w:wAfter w:w="142" w:type="dxa"/>
          <w:trHeight w:val="240"/>
          <w:jc w:val="center"/>
        </w:trPr>
        <w:tc>
          <w:tcPr>
            <w:tcW w:w="6485"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lastRenderedPageBreak/>
              <w:t>COMBUSTIBLES, LUBRICANTES Y ADITIVOS</w:t>
            </w:r>
          </w:p>
        </w:tc>
        <w:tc>
          <w:tcPr>
            <w:tcW w:w="1094"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DB3CA6">
        <w:trPr>
          <w:gridAfter w:val="1"/>
          <w:wAfter w:w="142" w:type="dxa"/>
          <w:trHeight w:val="480"/>
          <w:jc w:val="center"/>
        </w:trPr>
        <w:tc>
          <w:tcPr>
            <w:tcW w:w="6485"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1094"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DB3CA6">
        <w:trPr>
          <w:gridAfter w:val="1"/>
          <w:wAfter w:w="142" w:type="dxa"/>
          <w:trHeight w:val="240"/>
          <w:jc w:val="center"/>
        </w:trPr>
        <w:tc>
          <w:tcPr>
            <w:tcW w:w="6485"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1094"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DB3CA6">
        <w:trPr>
          <w:gridAfter w:val="1"/>
          <w:wAfter w:w="142" w:type="dxa"/>
          <w:trHeight w:val="480"/>
          <w:jc w:val="center"/>
        </w:trPr>
        <w:tc>
          <w:tcPr>
            <w:tcW w:w="6485"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1094"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111" w:type="dxa"/>
        <w:tblCellMar>
          <w:left w:w="70" w:type="dxa"/>
          <w:right w:w="70" w:type="dxa"/>
        </w:tblCellMar>
        <w:tblLook w:val="04A0" w:firstRow="1" w:lastRow="0" w:firstColumn="1" w:lastColumn="0" w:noHBand="0" w:noVBand="1"/>
      </w:tblPr>
      <w:tblGrid>
        <w:gridCol w:w="9142"/>
        <w:gridCol w:w="850"/>
        <w:gridCol w:w="851"/>
        <w:gridCol w:w="2268"/>
      </w:tblGrid>
      <w:tr w:rsidR="008E1BD8" w:rsidRPr="002D70DA" w:rsidTr="00CC68C2">
        <w:trPr>
          <w:trHeight w:val="480"/>
        </w:trPr>
        <w:tc>
          <w:tcPr>
            <w:tcW w:w="914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CC68C2">
        <w:trPr>
          <w:trHeight w:val="227"/>
        </w:trPr>
        <w:tc>
          <w:tcPr>
            <w:tcW w:w="914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85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851"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268"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CC68C2">
        <w:trPr>
          <w:trHeight w:val="227"/>
        </w:trPr>
        <w:tc>
          <w:tcPr>
            <w:tcW w:w="914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85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851"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268"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CC68C2">
        <w:trPr>
          <w:trHeight w:val="227"/>
        </w:trPr>
        <w:tc>
          <w:tcPr>
            <w:tcW w:w="914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85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851"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268"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CC68C2">
        <w:trPr>
          <w:trHeight w:val="227"/>
        </w:trPr>
        <w:tc>
          <w:tcPr>
            <w:tcW w:w="914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85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851"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268"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CC68C2">
        <w:trPr>
          <w:trHeight w:val="227"/>
        </w:trPr>
        <w:tc>
          <w:tcPr>
            <w:tcW w:w="914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85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851"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268"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CC68C2">
        <w:trPr>
          <w:trHeight w:val="227"/>
        </w:trPr>
        <w:tc>
          <w:tcPr>
            <w:tcW w:w="914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85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851"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268"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CC68C2">
        <w:trPr>
          <w:trHeight w:val="238"/>
        </w:trPr>
        <w:tc>
          <w:tcPr>
            <w:tcW w:w="914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85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851"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268"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CC68C2">
        <w:trPr>
          <w:trHeight w:val="227"/>
        </w:trPr>
        <w:tc>
          <w:tcPr>
            <w:tcW w:w="914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85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851"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268"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CC68C2">
        <w:trPr>
          <w:trHeight w:val="227"/>
        </w:trPr>
        <w:tc>
          <w:tcPr>
            <w:tcW w:w="9142"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85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851"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268"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CC68C2">
        <w:trPr>
          <w:trHeight w:val="240"/>
        </w:trPr>
        <w:tc>
          <w:tcPr>
            <w:tcW w:w="9142"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85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570AE1" w:rsidP="008E1BD8">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8E1BD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8E1BD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268"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026" w:type="dxa"/>
        <w:jc w:val="center"/>
        <w:tblCellMar>
          <w:left w:w="70" w:type="dxa"/>
          <w:right w:w="70" w:type="dxa"/>
        </w:tblCellMar>
        <w:tblLook w:val="04A0" w:firstRow="1" w:lastRow="0" w:firstColumn="1" w:lastColumn="0" w:noHBand="0" w:noVBand="1"/>
      </w:tblPr>
      <w:tblGrid>
        <w:gridCol w:w="8846"/>
        <w:gridCol w:w="2180"/>
      </w:tblGrid>
      <w:tr w:rsidR="008E1BD8" w:rsidRPr="002D70DA" w:rsidTr="00DB3CA6">
        <w:trPr>
          <w:trHeight w:val="240"/>
          <w:jc w:val="center"/>
        </w:trPr>
        <w:tc>
          <w:tcPr>
            <w:tcW w:w="884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DB3CA6">
        <w:trPr>
          <w:trHeight w:val="238"/>
          <w:jc w:val="center"/>
        </w:trPr>
        <w:tc>
          <w:tcPr>
            <w:tcW w:w="8846"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DB3CA6">
        <w:trPr>
          <w:trHeight w:val="238"/>
          <w:jc w:val="center"/>
        </w:trPr>
        <w:tc>
          <w:tcPr>
            <w:tcW w:w="8846"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DB3CA6">
        <w:trPr>
          <w:trHeight w:val="238"/>
          <w:jc w:val="center"/>
        </w:trPr>
        <w:tc>
          <w:tcPr>
            <w:tcW w:w="8846"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DB3CA6">
        <w:trPr>
          <w:trHeight w:val="240"/>
          <w:jc w:val="center"/>
        </w:trPr>
        <w:tc>
          <w:tcPr>
            <w:tcW w:w="8846"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570AE1" w:rsidP="008E1BD8">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8E1BD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8E1BD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5760D4" w:rsidRPr="00511782" w:rsidRDefault="006335BE" w:rsidP="0051178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578"/>
        <w:gridCol w:w="1564"/>
        <w:gridCol w:w="1564"/>
        <w:gridCol w:w="1689"/>
        <w:gridCol w:w="1564"/>
        <w:gridCol w:w="1564"/>
        <w:gridCol w:w="1765"/>
      </w:tblGrid>
      <w:tr w:rsidR="00E771F3" w:rsidRPr="002D70DA" w:rsidTr="00E771F3">
        <w:trPr>
          <w:trHeight w:val="960"/>
          <w:jc w:val="center"/>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77A51">
            <w:pPr>
              <w:jc w:val="right"/>
              <w:rPr>
                <w:rFonts w:ascii="Arial" w:hAnsi="Arial" w:cs="Arial"/>
                <w:b/>
                <w:bCs/>
                <w:color w:val="000000"/>
                <w:sz w:val="17"/>
                <w:szCs w:val="17"/>
              </w:rPr>
            </w:pPr>
            <w:r>
              <w:rPr>
                <w:rFonts w:ascii="Arial" w:hAnsi="Arial" w:cs="Arial"/>
                <w:b/>
                <w:bCs/>
                <w:color w:val="000000"/>
                <w:sz w:val="17"/>
                <w:szCs w:val="17"/>
              </w:rPr>
              <w:t>4,867,704.96</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B09DF">
            <w:pPr>
              <w:jc w:val="right"/>
              <w:rPr>
                <w:rFonts w:ascii="Arial" w:hAnsi="Arial" w:cs="Arial"/>
                <w:b/>
                <w:bCs/>
                <w:color w:val="000000"/>
                <w:sz w:val="17"/>
                <w:szCs w:val="17"/>
              </w:rPr>
            </w:pPr>
            <w:r>
              <w:rPr>
                <w:rFonts w:ascii="Arial" w:hAnsi="Arial" w:cs="Arial"/>
                <w:b/>
                <w:bCs/>
                <w:color w:val="000000"/>
                <w:sz w:val="17"/>
                <w:szCs w:val="17"/>
              </w:rPr>
              <w:t>14,513,150.94</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SE DEPRECIA AL MES SIGUIENTE DE ENTRAR EN FUNCIONAMIENTO EL BIEN ( MES COMPLETO)</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10% Y 33%</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PARAMETROS DE ESTIMACION DE VIDA UTIL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EN BUEN ESTADO</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B09DF">
            <w:pPr>
              <w:jc w:val="right"/>
              <w:rPr>
                <w:rFonts w:ascii="Arial" w:hAnsi="Arial" w:cs="Arial"/>
                <w:b/>
                <w:bCs/>
                <w:color w:val="000000"/>
                <w:sz w:val="17"/>
                <w:szCs w:val="17"/>
              </w:rPr>
            </w:pPr>
            <w:r>
              <w:rPr>
                <w:rFonts w:ascii="Arial" w:hAnsi="Arial" w:cs="Arial"/>
                <w:b/>
                <w:bCs/>
                <w:color w:val="000000"/>
                <w:sz w:val="17"/>
                <w:szCs w:val="17"/>
              </w:rPr>
              <w:t>1,182,193.13</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B09DF">
            <w:pPr>
              <w:jc w:val="right"/>
              <w:rPr>
                <w:rFonts w:ascii="Arial" w:hAnsi="Arial" w:cs="Arial"/>
                <w:b/>
                <w:bCs/>
                <w:color w:val="000000"/>
                <w:sz w:val="17"/>
                <w:szCs w:val="17"/>
              </w:rPr>
            </w:pPr>
            <w:r>
              <w:rPr>
                <w:rFonts w:ascii="Arial" w:hAnsi="Arial" w:cs="Arial"/>
                <w:b/>
                <w:bCs/>
                <w:color w:val="000000"/>
                <w:sz w:val="17"/>
                <w:szCs w:val="17"/>
              </w:rPr>
              <w:t>3,824,627.42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sidRPr="002D70DA">
              <w:rPr>
                <w:rFonts w:ascii="Arial" w:hAnsi="Arial" w:cs="Arial"/>
                <w:color w:val="000000"/>
                <w:sz w:val="17"/>
                <w:szCs w:val="17"/>
              </w:rPr>
              <w:t> </w:t>
            </w:r>
            <w:r w:rsidR="005B09DF">
              <w:rPr>
                <w:rFonts w:ascii="Arial" w:hAnsi="Arial" w:cs="Arial"/>
                <w:color w:val="000000"/>
                <w:sz w:val="17"/>
                <w:szCs w:val="17"/>
              </w:rPr>
              <w:t>SE DEPRECIA AL MES SIGUIENTE DE ENTRAR EN FUNCIONAMIENTO EL BIEN ( MES COMPLETO)</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10% Y 33%</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PARAMETROS DE ESTIMACION DE VIDA UTIL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EN BUEN ESTADO</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B09DF">
            <w:pPr>
              <w:jc w:val="right"/>
              <w:rPr>
                <w:rFonts w:ascii="Arial" w:hAnsi="Arial" w:cs="Arial"/>
                <w:b/>
                <w:bCs/>
                <w:color w:val="000000"/>
                <w:sz w:val="17"/>
                <w:szCs w:val="17"/>
              </w:rPr>
            </w:pPr>
            <w:r>
              <w:rPr>
                <w:rFonts w:ascii="Arial" w:hAnsi="Arial" w:cs="Arial"/>
                <w:b/>
                <w:bCs/>
                <w:color w:val="000000"/>
                <w:sz w:val="17"/>
                <w:szCs w:val="17"/>
              </w:rPr>
              <w:t>97,393.56</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B09DF">
            <w:pPr>
              <w:jc w:val="right"/>
              <w:rPr>
                <w:rFonts w:ascii="Arial" w:hAnsi="Arial" w:cs="Arial"/>
                <w:b/>
                <w:bCs/>
                <w:color w:val="000000"/>
                <w:sz w:val="17"/>
                <w:szCs w:val="17"/>
              </w:rPr>
            </w:pPr>
            <w:r>
              <w:rPr>
                <w:rFonts w:ascii="Arial" w:hAnsi="Arial" w:cs="Arial"/>
                <w:b/>
                <w:bCs/>
                <w:color w:val="000000"/>
                <w:sz w:val="17"/>
                <w:szCs w:val="17"/>
              </w:rPr>
              <w:t>136,804.60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sidRPr="002D70DA">
              <w:rPr>
                <w:rFonts w:ascii="Arial" w:hAnsi="Arial" w:cs="Arial"/>
                <w:color w:val="000000"/>
                <w:sz w:val="17"/>
                <w:szCs w:val="17"/>
              </w:rPr>
              <w:t> </w:t>
            </w:r>
            <w:r w:rsidR="005B09DF">
              <w:rPr>
                <w:rFonts w:ascii="Arial" w:hAnsi="Arial" w:cs="Arial"/>
                <w:color w:val="000000"/>
                <w:sz w:val="17"/>
                <w:szCs w:val="17"/>
              </w:rPr>
              <w:t>SE DEPRECIA AL MES SIGUIENTE DE ENTRAR EN FUNCIONAMIENTO EL BIEN ( MES COMPLETO)</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20%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PARAMETROS DE ESTIMACION DE VIDA UTIL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EN BUEN ESTADO</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TRANSPORTE</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B09DF">
            <w:pPr>
              <w:jc w:val="right"/>
              <w:rPr>
                <w:rFonts w:ascii="Arial" w:hAnsi="Arial" w:cs="Arial"/>
                <w:b/>
                <w:bCs/>
                <w:color w:val="000000"/>
                <w:sz w:val="17"/>
                <w:szCs w:val="17"/>
              </w:rPr>
            </w:pPr>
            <w:r>
              <w:rPr>
                <w:rFonts w:ascii="Arial" w:hAnsi="Arial" w:cs="Arial"/>
                <w:b/>
                <w:bCs/>
                <w:color w:val="000000"/>
                <w:sz w:val="17"/>
                <w:szCs w:val="17"/>
              </w:rPr>
              <w:t>219,139.20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B09DF">
            <w:pPr>
              <w:jc w:val="right"/>
              <w:rPr>
                <w:rFonts w:ascii="Arial" w:hAnsi="Arial" w:cs="Arial"/>
                <w:b/>
                <w:bCs/>
                <w:color w:val="000000"/>
                <w:sz w:val="17"/>
                <w:szCs w:val="17"/>
              </w:rPr>
            </w:pPr>
            <w:r>
              <w:rPr>
                <w:rFonts w:ascii="Arial" w:hAnsi="Arial" w:cs="Arial"/>
                <w:b/>
                <w:bCs/>
                <w:color w:val="000000"/>
                <w:sz w:val="17"/>
                <w:szCs w:val="17"/>
              </w:rPr>
              <w:t>552,358.50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sidRPr="002D70DA">
              <w:rPr>
                <w:rFonts w:ascii="Arial" w:hAnsi="Arial" w:cs="Arial"/>
                <w:color w:val="000000"/>
                <w:sz w:val="17"/>
                <w:szCs w:val="17"/>
              </w:rPr>
              <w:t> </w:t>
            </w:r>
            <w:r w:rsidR="005B09DF">
              <w:rPr>
                <w:rFonts w:ascii="Arial" w:hAnsi="Arial" w:cs="Arial"/>
                <w:color w:val="000000"/>
                <w:sz w:val="17"/>
                <w:szCs w:val="17"/>
              </w:rPr>
              <w:t>SE DEPRECIA AL MES SIGUIENTE DE ENTRAR EN FUNCIONAMIENTO EL BIEN ( MES COMPLETO)</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20%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PARAMETROS DE ESTIMACION DE VIDA UTIL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EN BUEN ESTADO</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DEFENSA Y SEGURIDAD</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B09DF">
            <w:pPr>
              <w:jc w:val="right"/>
              <w:rPr>
                <w:rFonts w:ascii="Arial" w:hAnsi="Arial" w:cs="Arial"/>
                <w:b/>
                <w:bCs/>
                <w:color w:val="000000"/>
                <w:sz w:val="17"/>
                <w:szCs w:val="17"/>
              </w:rPr>
            </w:pPr>
            <w:r>
              <w:rPr>
                <w:rFonts w:ascii="Arial" w:hAnsi="Arial" w:cs="Arial"/>
                <w:b/>
                <w:bCs/>
                <w:color w:val="000000"/>
                <w:sz w:val="17"/>
                <w:szCs w:val="17"/>
              </w:rPr>
              <w:t>854,007.53</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B09DF">
            <w:pPr>
              <w:jc w:val="right"/>
              <w:rPr>
                <w:rFonts w:ascii="Arial" w:hAnsi="Arial" w:cs="Arial"/>
                <w:b/>
                <w:bCs/>
                <w:color w:val="000000"/>
                <w:sz w:val="17"/>
                <w:szCs w:val="17"/>
              </w:rPr>
            </w:pPr>
            <w:r>
              <w:rPr>
                <w:rFonts w:ascii="Arial" w:hAnsi="Arial" w:cs="Arial"/>
                <w:b/>
                <w:bCs/>
                <w:color w:val="000000"/>
                <w:sz w:val="17"/>
                <w:szCs w:val="17"/>
              </w:rPr>
              <w:t>2,220,013.37</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sidRPr="002D70DA">
              <w:rPr>
                <w:rFonts w:ascii="Arial" w:hAnsi="Arial" w:cs="Arial"/>
                <w:color w:val="000000"/>
                <w:sz w:val="17"/>
                <w:szCs w:val="17"/>
              </w:rPr>
              <w:t> </w:t>
            </w:r>
            <w:r w:rsidR="005B09DF">
              <w:rPr>
                <w:rFonts w:ascii="Arial" w:hAnsi="Arial" w:cs="Arial"/>
                <w:color w:val="000000"/>
                <w:sz w:val="17"/>
                <w:szCs w:val="17"/>
              </w:rPr>
              <w:t>SE DEPRECIA AL MES SIGUIENTE DE ENTRAR EN FUNCIONAMIENTO EL BIEN ( MES COMPLETO)</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10%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PARAMETROS DE ESTIMACION DE VIDA UTIL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B09DF">
              <w:rPr>
                <w:rFonts w:ascii="Arial" w:hAnsi="Arial" w:cs="Arial"/>
                <w:color w:val="000000"/>
                <w:sz w:val="17"/>
                <w:szCs w:val="17"/>
              </w:rPr>
              <w:t>EN BUEN ESTADO</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ACTIVOS BIOLÓGICOS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5A20BB" w:rsidP="00AF6B5B">
            <w:pPr>
              <w:rPr>
                <w:rFonts w:ascii="Arial" w:hAnsi="Arial" w:cs="Arial"/>
                <w:b/>
                <w:bCs/>
                <w:color w:val="000000"/>
                <w:sz w:val="17"/>
                <w:szCs w:val="17"/>
              </w:rPr>
            </w:pPr>
            <w:r>
              <w:rPr>
                <w:rFonts w:ascii="Arial" w:hAnsi="Arial" w:cs="Arial"/>
                <w:b/>
                <w:bCs/>
                <w:color w:val="000000"/>
                <w:sz w:val="17"/>
                <w:szCs w:val="17"/>
              </w:rPr>
              <w:t xml:space="preserve">      </w:t>
            </w:r>
            <w:r w:rsidR="00AF6B5B">
              <w:rPr>
                <w:rFonts w:ascii="Arial" w:hAnsi="Arial" w:cs="Arial"/>
                <w:b/>
                <w:bCs/>
                <w:color w:val="000000"/>
                <w:sz w:val="17"/>
                <w:szCs w:val="17"/>
              </w:rPr>
              <w:t>$ 7,220,438.38</w:t>
            </w:r>
          </w:p>
        </w:tc>
        <w:tc>
          <w:tcPr>
            <w:tcW w:w="606" w:type="pct"/>
            <w:tcBorders>
              <w:top w:val="nil"/>
              <w:left w:val="nil"/>
              <w:bottom w:val="single" w:sz="4" w:space="0" w:color="auto"/>
              <w:right w:val="single" w:sz="4" w:space="0" w:color="auto"/>
            </w:tcBorders>
            <w:shd w:val="clear" w:color="000000" w:fill="FFFFFF"/>
            <w:vAlign w:val="center"/>
            <w:hideMark/>
          </w:tcPr>
          <w:p w:rsidR="00E771F3" w:rsidRPr="002D70DA" w:rsidRDefault="00570AE1" w:rsidP="00AF6B5B">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771F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771F3" w:rsidRPr="002D70DA">
              <w:rPr>
                <w:rFonts w:ascii="Arial" w:hAnsi="Arial" w:cs="Arial"/>
                <w:b/>
                <w:bCs/>
                <w:noProof/>
                <w:color w:val="000000"/>
                <w:sz w:val="17"/>
                <w:szCs w:val="17"/>
              </w:rPr>
              <w:t>$</w:t>
            </w:r>
            <w:r w:rsidR="00AF6B5B">
              <w:rPr>
                <w:rFonts w:ascii="Arial" w:hAnsi="Arial" w:cs="Arial"/>
                <w:b/>
                <w:bCs/>
                <w:noProof/>
                <w:color w:val="000000"/>
                <w:sz w:val="17"/>
                <w:szCs w:val="17"/>
              </w:rPr>
              <w:t>21,246,954.83</w:t>
            </w:r>
            <w:r w:rsidR="00E771F3"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578"/>
        <w:gridCol w:w="1564"/>
        <w:gridCol w:w="1564"/>
        <w:gridCol w:w="1689"/>
        <w:gridCol w:w="1564"/>
        <w:gridCol w:w="1564"/>
        <w:gridCol w:w="1765"/>
      </w:tblGrid>
      <w:tr w:rsidR="00E771F3" w:rsidRPr="002D70DA" w:rsidTr="00511782">
        <w:trPr>
          <w:trHeight w:val="791"/>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A20BB">
            <w:pPr>
              <w:jc w:val="right"/>
              <w:rPr>
                <w:rFonts w:ascii="Arial" w:hAnsi="Arial" w:cs="Arial"/>
                <w:b/>
                <w:bCs/>
                <w:color w:val="000000"/>
                <w:sz w:val="17"/>
                <w:szCs w:val="17"/>
              </w:rPr>
            </w:pPr>
            <w:r>
              <w:rPr>
                <w:rFonts w:ascii="Arial" w:hAnsi="Arial" w:cs="Arial"/>
                <w:b/>
                <w:bCs/>
                <w:color w:val="000000"/>
                <w:sz w:val="17"/>
                <w:szCs w:val="17"/>
              </w:rPr>
              <w:t>900,666.24</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A20BB">
            <w:pPr>
              <w:jc w:val="right"/>
              <w:rPr>
                <w:rFonts w:ascii="Arial" w:hAnsi="Arial" w:cs="Arial"/>
                <w:b/>
                <w:bCs/>
                <w:color w:val="000000"/>
                <w:sz w:val="17"/>
                <w:szCs w:val="17"/>
              </w:rPr>
            </w:pPr>
            <w:r>
              <w:rPr>
                <w:rFonts w:ascii="Arial" w:hAnsi="Arial" w:cs="Arial"/>
                <w:b/>
                <w:bCs/>
                <w:color w:val="000000"/>
                <w:sz w:val="17"/>
                <w:szCs w:val="17"/>
              </w:rPr>
              <w:t>2,250,445.84</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21538A">
            <w:pPr>
              <w:rPr>
                <w:rFonts w:ascii="Arial" w:hAnsi="Arial" w:cs="Arial"/>
                <w:color w:val="000000"/>
                <w:sz w:val="17"/>
                <w:szCs w:val="17"/>
              </w:rPr>
            </w:pPr>
            <w:r w:rsidRPr="002D70DA">
              <w:rPr>
                <w:rFonts w:ascii="Arial" w:hAnsi="Arial" w:cs="Arial"/>
                <w:color w:val="000000"/>
                <w:sz w:val="17"/>
                <w:szCs w:val="17"/>
              </w:rPr>
              <w:t> </w:t>
            </w:r>
            <w:r w:rsidR="0021538A">
              <w:rPr>
                <w:rFonts w:ascii="Arial" w:hAnsi="Arial" w:cs="Arial"/>
                <w:color w:val="000000"/>
                <w:sz w:val="17"/>
                <w:szCs w:val="17"/>
              </w:rPr>
              <w:t>SE DEPRECIA AL MES SIGUIENTE DE ENTRAR EN FUNCIONAMIENTO EL BIEN ( MES COMPLETO)</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21538A">
              <w:rPr>
                <w:rFonts w:ascii="Arial" w:hAnsi="Arial" w:cs="Arial"/>
                <w:color w:val="000000"/>
                <w:sz w:val="17"/>
                <w:szCs w:val="17"/>
              </w:rPr>
              <w:t>3.3%</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A507C3">
              <w:rPr>
                <w:rFonts w:ascii="Arial" w:hAnsi="Arial" w:cs="Arial"/>
                <w:color w:val="000000"/>
                <w:sz w:val="17"/>
                <w:szCs w:val="17"/>
              </w:rPr>
              <w:t>PARAMETROS DE ESTIMACION DE VIDA UTIL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A507C3">
              <w:rPr>
                <w:rFonts w:ascii="Arial" w:hAnsi="Arial" w:cs="Arial"/>
                <w:color w:val="000000"/>
                <w:sz w:val="17"/>
                <w:szCs w:val="17"/>
              </w:rPr>
              <w:t>EN BUEN ESTADO</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570AE1" w:rsidP="005A20BB">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771F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771F3"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5A20BB">
              <w:rPr>
                <w:rFonts w:ascii="Arial" w:hAnsi="Arial" w:cs="Arial"/>
                <w:b/>
                <w:bCs/>
                <w:color w:val="000000"/>
                <w:sz w:val="17"/>
                <w:szCs w:val="17"/>
              </w:rPr>
              <w:t>900,666.24</w:t>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570AE1" w:rsidP="00A507C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771F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771F3"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A507C3">
              <w:rPr>
                <w:rFonts w:ascii="Arial" w:hAnsi="Arial" w:cs="Arial"/>
                <w:b/>
                <w:bCs/>
                <w:color w:val="000000"/>
                <w:sz w:val="17"/>
                <w:szCs w:val="17"/>
              </w:rPr>
              <w:t>2,250,445.84</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24"/>
        <w:gridCol w:w="1610"/>
        <w:gridCol w:w="1610"/>
        <w:gridCol w:w="1611"/>
        <w:gridCol w:w="1611"/>
        <w:gridCol w:w="1611"/>
        <w:gridCol w:w="1611"/>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5A20BB">
            <w:pPr>
              <w:jc w:val="right"/>
              <w:rPr>
                <w:rFonts w:ascii="Arial" w:hAnsi="Arial" w:cs="Arial"/>
                <w:b/>
                <w:bCs/>
                <w:color w:val="000000"/>
                <w:sz w:val="17"/>
                <w:szCs w:val="17"/>
              </w:rPr>
            </w:pPr>
            <w:r>
              <w:rPr>
                <w:rFonts w:ascii="Arial" w:hAnsi="Arial" w:cs="Arial"/>
                <w:b/>
                <w:bCs/>
                <w:color w:val="000000"/>
                <w:sz w:val="17"/>
                <w:szCs w:val="17"/>
              </w:rPr>
              <w:t>4,596,683.60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5A20BB">
            <w:pPr>
              <w:jc w:val="right"/>
              <w:rPr>
                <w:rFonts w:ascii="Arial" w:hAnsi="Arial" w:cs="Arial"/>
                <w:b/>
                <w:bCs/>
                <w:color w:val="000000"/>
                <w:sz w:val="17"/>
                <w:szCs w:val="17"/>
              </w:rPr>
            </w:pPr>
            <w:r>
              <w:rPr>
                <w:rFonts w:ascii="Arial" w:hAnsi="Arial" w:cs="Arial"/>
                <w:b/>
                <w:bCs/>
                <w:color w:val="000000"/>
                <w:sz w:val="17"/>
                <w:szCs w:val="17"/>
              </w:rPr>
              <w:t>842,730.32</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5A20BB">
            <w:pPr>
              <w:jc w:val="right"/>
              <w:rPr>
                <w:rFonts w:ascii="Arial" w:hAnsi="Arial" w:cs="Arial"/>
                <w:b/>
                <w:bCs/>
                <w:color w:val="000000"/>
                <w:sz w:val="17"/>
                <w:szCs w:val="17"/>
              </w:rPr>
            </w:pPr>
            <w:r>
              <w:rPr>
                <w:rFonts w:ascii="Arial" w:hAnsi="Arial" w:cs="Arial"/>
                <w:b/>
                <w:bCs/>
                <w:color w:val="000000"/>
                <w:sz w:val="17"/>
                <w:szCs w:val="17"/>
              </w:rPr>
              <w:t>2,082,034.02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A507C3">
              <w:rPr>
                <w:rFonts w:ascii="Arial" w:hAnsi="Arial" w:cs="Arial"/>
                <w:color w:val="000000"/>
                <w:sz w:val="17"/>
                <w:szCs w:val="17"/>
              </w:rPr>
              <w:t>PARAMETROS DE ESTIMACION DE VIDA UTIL</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570AE1" w:rsidP="005A20BB">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A92123"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5A20BB">
              <w:rPr>
                <w:rFonts w:ascii="Arial" w:hAnsi="Arial" w:cs="Arial"/>
                <w:b/>
                <w:bCs/>
                <w:color w:val="000000"/>
                <w:sz w:val="17"/>
                <w:szCs w:val="17"/>
              </w:rPr>
              <w:t>842,730.32</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570AE1" w:rsidP="00A507C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A92123"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A507C3">
              <w:rPr>
                <w:rFonts w:ascii="Arial" w:hAnsi="Arial" w:cs="Arial"/>
                <w:b/>
                <w:bCs/>
                <w:color w:val="000000"/>
                <w:sz w:val="17"/>
                <w:szCs w:val="17"/>
              </w:rPr>
              <w:t>842,730.32</w:t>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570AE1" w:rsidP="00A507C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A92123"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A507C3">
              <w:rPr>
                <w:rFonts w:ascii="Arial" w:hAnsi="Arial" w:cs="Arial"/>
                <w:b/>
                <w:bCs/>
                <w:color w:val="000000"/>
                <w:sz w:val="17"/>
                <w:szCs w:val="17"/>
              </w:rPr>
              <w:t>2,082,034.02</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12159" w:type="dxa"/>
        <w:jc w:val="center"/>
        <w:tblCellMar>
          <w:left w:w="70" w:type="dxa"/>
          <w:right w:w="70" w:type="dxa"/>
        </w:tblCellMar>
        <w:tblLook w:val="04A0" w:firstRow="1" w:lastRow="0" w:firstColumn="1" w:lastColumn="0" w:noHBand="0" w:noVBand="1"/>
      </w:tblPr>
      <w:tblGrid>
        <w:gridCol w:w="8492"/>
        <w:gridCol w:w="3667"/>
      </w:tblGrid>
      <w:tr w:rsidR="00D718EB" w:rsidRPr="002D70DA" w:rsidTr="00511782">
        <w:trPr>
          <w:trHeight w:val="561"/>
          <w:jc w:val="center"/>
        </w:trPr>
        <w:tc>
          <w:tcPr>
            <w:tcW w:w="84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667"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511782">
        <w:trPr>
          <w:trHeight w:val="227"/>
          <w:jc w:val="center"/>
        </w:trPr>
        <w:tc>
          <w:tcPr>
            <w:tcW w:w="8492"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3667"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511782">
        <w:trPr>
          <w:trHeight w:val="227"/>
          <w:jc w:val="center"/>
        </w:trPr>
        <w:tc>
          <w:tcPr>
            <w:tcW w:w="8492"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3667"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511782">
        <w:trPr>
          <w:trHeight w:val="227"/>
          <w:jc w:val="center"/>
        </w:trPr>
        <w:tc>
          <w:tcPr>
            <w:tcW w:w="8492"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3667"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511782">
        <w:trPr>
          <w:trHeight w:val="227"/>
          <w:jc w:val="center"/>
        </w:trPr>
        <w:tc>
          <w:tcPr>
            <w:tcW w:w="8492"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3667"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511782">
        <w:trPr>
          <w:trHeight w:val="238"/>
          <w:jc w:val="center"/>
        </w:trPr>
        <w:tc>
          <w:tcPr>
            <w:tcW w:w="8492"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3667"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511782">
        <w:trPr>
          <w:trHeight w:val="240"/>
          <w:jc w:val="center"/>
        </w:trPr>
        <w:tc>
          <w:tcPr>
            <w:tcW w:w="8492"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3667"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y sus características cualitativas significativas que les impacten financieramente:</w:t>
      </w: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0146" w:type="dxa"/>
        <w:jc w:val="center"/>
        <w:tblCellMar>
          <w:left w:w="70" w:type="dxa"/>
          <w:right w:w="70" w:type="dxa"/>
        </w:tblCellMar>
        <w:tblLook w:val="04A0" w:firstRow="1" w:lastRow="0" w:firstColumn="1" w:lastColumn="0" w:noHBand="0" w:noVBand="1"/>
      </w:tblPr>
      <w:tblGrid>
        <w:gridCol w:w="4900"/>
        <w:gridCol w:w="2180"/>
        <w:gridCol w:w="3066"/>
      </w:tblGrid>
      <w:tr w:rsidR="00A92123" w:rsidRPr="002D70DA" w:rsidTr="00511782">
        <w:trPr>
          <w:trHeight w:val="738"/>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3066"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511782">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3066"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51178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3066"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51178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3066"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511782">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570AE1"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A9212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3066"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511782">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511782">
            <w:pP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3066"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511782">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3066"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51178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3066"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3066"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3066"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511782">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570AE1"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A9212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3066"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511782">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570AE1"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A9212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3066"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0225" w:type="dxa"/>
        <w:jc w:val="center"/>
        <w:tblCellMar>
          <w:left w:w="70" w:type="dxa"/>
          <w:right w:w="70" w:type="dxa"/>
        </w:tblCellMar>
        <w:tblLook w:val="04A0" w:firstRow="1" w:lastRow="0" w:firstColumn="1" w:lastColumn="0" w:noHBand="0" w:noVBand="1"/>
      </w:tblPr>
      <w:tblGrid>
        <w:gridCol w:w="5865"/>
        <w:gridCol w:w="2180"/>
        <w:gridCol w:w="2180"/>
      </w:tblGrid>
      <w:tr w:rsidR="00B35C2A" w:rsidRPr="002D70DA" w:rsidTr="00DB3CA6">
        <w:trPr>
          <w:trHeight w:val="240"/>
          <w:jc w:val="center"/>
        </w:trPr>
        <w:tc>
          <w:tcPr>
            <w:tcW w:w="586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DB3CA6">
        <w:trPr>
          <w:trHeight w:val="240"/>
          <w:jc w:val="center"/>
        </w:trPr>
        <w:tc>
          <w:tcPr>
            <w:tcW w:w="5865"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DB3CA6">
        <w:trPr>
          <w:trHeight w:val="240"/>
          <w:jc w:val="center"/>
        </w:trPr>
        <w:tc>
          <w:tcPr>
            <w:tcW w:w="5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A507C3">
            <w:pPr>
              <w:jc w:val="right"/>
              <w:rPr>
                <w:rFonts w:ascii="Arial" w:hAnsi="Arial" w:cs="Arial"/>
                <w:b/>
                <w:bCs/>
                <w:color w:val="000000"/>
                <w:sz w:val="17"/>
                <w:szCs w:val="17"/>
              </w:rPr>
            </w:pPr>
            <w:r>
              <w:rPr>
                <w:rFonts w:ascii="Arial" w:hAnsi="Arial" w:cs="Arial"/>
                <w:b/>
                <w:bCs/>
                <w:color w:val="000000"/>
                <w:sz w:val="17"/>
                <w:szCs w:val="17"/>
              </w:rPr>
              <w:t>84,334.94</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A507C3">
            <w:pPr>
              <w:jc w:val="right"/>
              <w:rPr>
                <w:rFonts w:ascii="Arial" w:hAnsi="Arial" w:cs="Arial"/>
                <w:b/>
                <w:bCs/>
                <w:color w:val="000000"/>
                <w:sz w:val="17"/>
                <w:szCs w:val="17"/>
              </w:rPr>
            </w:pPr>
            <w:r>
              <w:rPr>
                <w:rFonts w:ascii="Arial" w:hAnsi="Arial" w:cs="Arial"/>
                <w:b/>
                <w:bCs/>
                <w:color w:val="000000"/>
                <w:sz w:val="17"/>
                <w:szCs w:val="17"/>
              </w:rPr>
              <w:t>972,394.82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83"/>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A507C3">
            <w:pPr>
              <w:jc w:val="right"/>
              <w:rPr>
                <w:rFonts w:ascii="Arial" w:hAnsi="Arial" w:cs="Arial"/>
                <w:b/>
                <w:bCs/>
                <w:color w:val="000000"/>
                <w:sz w:val="17"/>
                <w:szCs w:val="17"/>
              </w:rPr>
            </w:pPr>
            <w:r>
              <w:rPr>
                <w:rFonts w:ascii="Arial" w:hAnsi="Arial" w:cs="Arial"/>
                <w:b/>
                <w:bCs/>
                <w:color w:val="000000"/>
                <w:sz w:val="17"/>
                <w:szCs w:val="17"/>
              </w:rPr>
              <w:t>9,766,491.10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570AE1" w:rsidP="00A507C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w:t>
            </w:r>
            <w:r w:rsidR="00A507C3">
              <w:rPr>
                <w:rFonts w:ascii="Arial" w:hAnsi="Arial" w:cs="Arial"/>
                <w:b/>
                <w:bCs/>
                <w:noProof/>
                <w:color w:val="000000"/>
                <w:sz w:val="17"/>
                <w:szCs w:val="17"/>
              </w:rPr>
              <w:t>10,823,220.86</w:t>
            </w:r>
            <w:r w:rsidR="00B35C2A"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DB3CA6">
        <w:trPr>
          <w:trHeight w:val="240"/>
          <w:jc w:val="center"/>
        </w:trPr>
        <w:tc>
          <w:tcPr>
            <w:tcW w:w="5865"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DB3CA6">
        <w:trPr>
          <w:trHeight w:val="240"/>
          <w:jc w:val="center"/>
        </w:trPr>
        <w:tc>
          <w:tcPr>
            <w:tcW w:w="5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83"/>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570AE1"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DB3CA6">
        <w:trPr>
          <w:trHeight w:val="240"/>
          <w:jc w:val="center"/>
        </w:trPr>
        <w:tc>
          <w:tcPr>
            <w:tcW w:w="5865"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DB3CA6">
        <w:trPr>
          <w:trHeight w:val="240"/>
          <w:jc w:val="center"/>
        </w:trPr>
        <w:tc>
          <w:tcPr>
            <w:tcW w:w="5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83"/>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570AE1"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DB3CA6">
        <w:trPr>
          <w:trHeight w:val="240"/>
          <w:jc w:val="center"/>
        </w:trPr>
        <w:tc>
          <w:tcPr>
            <w:tcW w:w="5865"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DB3CA6">
        <w:trPr>
          <w:trHeight w:val="240"/>
          <w:jc w:val="center"/>
        </w:trPr>
        <w:tc>
          <w:tcPr>
            <w:tcW w:w="5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DB3CA6">
        <w:trPr>
          <w:trHeight w:val="240"/>
          <w:jc w:val="center"/>
        </w:trPr>
        <w:tc>
          <w:tcPr>
            <w:tcW w:w="5865"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570AE1"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DB3CA6">
        <w:trPr>
          <w:trHeight w:val="240"/>
          <w:jc w:val="center"/>
        </w:trPr>
        <w:tc>
          <w:tcPr>
            <w:tcW w:w="5865"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570AE1" w:rsidP="00A507C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A507C3">
              <w:rPr>
                <w:rFonts w:ascii="Arial" w:hAnsi="Arial" w:cs="Arial"/>
                <w:b/>
                <w:bCs/>
                <w:color w:val="000000"/>
                <w:sz w:val="17"/>
                <w:szCs w:val="17"/>
              </w:rPr>
              <w:t>10,823,220.86</w:t>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5216"/>
        <w:gridCol w:w="1864"/>
        <w:gridCol w:w="2180"/>
      </w:tblGrid>
      <w:tr w:rsidR="00B35C2A" w:rsidRPr="002D70DA" w:rsidTr="00511782">
        <w:trPr>
          <w:trHeight w:val="240"/>
          <w:jc w:val="center"/>
        </w:trPr>
        <w:tc>
          <w:tcPr>
            <w:tcW w:w="521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1864"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511782">
        <w:trPr>
          <w:trHeight w:val="240"/>
          <w:jc w:val="center"/>
        </w:trPr>
        <w:tc>
          <w:tcPr>
            <w:tcW w:w="5216"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1864"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511782">
        <w:trPr>
          <w:trHeight w:val="240"/>
          <w:jc w:val="center"/>
        </w:trPr>
        <w:tc>
          <w:tcPr>
            <w:tcW w:w="5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1864"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40"/>
          <w:jc w:val="center"/>
        </w:trPr>
        <w:tc>
          <w:tcPr>
            <w:tcW w:w="5216"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1864"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40"/>
          <w:jc w:val="center"/>
        </w:trPr>
        <w:tc>
          <w:tcPr>
            <w:tcW w:w="5216"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1864"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40"/>
          <w:jc w:val="center"/>
        </w:trPr>
        <w:tc>
          <w:tcPr>
            <w:tcW w:w="5216"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1864"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570AE1"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511782">
        <w:trPr>
          <w:trHeight w:val="240"/>
          <w:jc w:val="center"/>
        </w:trPr>
        <w:tc>
          <w:tcPr>
            <w:tcW w:w="5216"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1864"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511782">
        <w:trPr>
          <w:trHeight w:val="240"/>
          <w:jc w:val="center"/>
        </w:trPr>
        <w:tc>
          <w:tcPr>
            <w:tcW w:w="5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1864"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40"/>
          <w:jc w:val="center"/>
        </w:trPr>
        <w:tc>
          <w:tcPr>
            <w:tcW w:w="5216"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1864"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40"/>
          <w:jc w:val="center"/>
        </w:trPr>
        <w:tc>
          <w:tcPr>
            <w:tcW w:w="5216"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1864"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40"/>
          <w:jc w:val="center"/>
        </w:trPr>
        <w:tc>
          <w:tcPr>
            <w:tcW w:w="5216"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1864"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570AE1"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511782">
        <w:trPr>
          <w:trHeight w:val="240"/>
          <w:jc w:val="center"/>
        </w:trPr>
        <w:tc>
          <w:tcPr>
            <w:tcW w:w="5216"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1864"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511782">
        <w:trPr>
          <w:trHeight w:val="240"/>
          <w:jc w:val="center"/>
        </w:trPr>
        <w:tc>
          <w:tcPr>
            <w:tcW w:w="5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1864"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40"/>
          <w:jc w:val="center"/>
        </w:trPr>
        <w:tc>
          <w:tcPr>
            <w:tcW w:w="5216"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1864"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40"/>
          <w:jc w:val="center"/>
        </w:trPr>
        <w:tc>
          <w:tcPr>
            <w:tcW w:w="5216"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1864"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40"/>
          <w:jc w:val="center"/>
        </w:trPr>
        <w:tc>
          <w:tcPr>
            <w:tcW w:w="5216"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1864"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570AE1"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511782">
        <w:trPr>
          <w:trHeight w:val="240"/>
          <w:jc w:val="center"/>
        </w:trPr>
        <w:tc>
          <w:tcPr>
            <w:tcW w:w="5216"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1864"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511782">
        <w:trPr>
          <w:trHeight w:val="240"/>
          <w:jc w:val="center"/>
        </w:trPr>
        <w:tc>
          <w:tcPr>
            <w:tcW w:w="5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40"/>
          <w:jc w:val="center"/>
        </w:trPr>
        <w:tc>
          <w:tcPr>
            <w:tcW w:w="5216"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1864"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40"/>
          <w:jc w:val="center"/>
        </w:trPr>
        <w:tc>
          <w:tcPr>
            <w:tcW w:w="5216"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1864"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11782">
        <w:trPr>
          <w:trHeight w:val="240"/>
          <w:jc w:val="center"/>
        </w:trPr>
        <w:tc>
          <w:tcPr>
            <w:tcW w:w="5216"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1864"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570AE1"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511782">
        <w:trPr>
          <w:trHeight w:val="240"/>
          <w:jc w:val="center"/>
        </w:trPr>
        <w:tc>
          <w:tcPr>
            <w:tcW w:w="5216"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1864"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570AE1"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CC68C2" w:rsidRDefault="00CC68C2">
      <w:pPr>
        <w:rPr>
          <w:rFonts w:ascii="Arial" w:eastAsia="Calibri" w:hAnsi="Arial" w:cs="Arial"/>
          <w:spacing w:val="-1"/>
          <w:sz w:val="17"/>
          <w:szCs w:val="17"/>
        </w:rPr>
      </w:pPr>
      <w:r>
        <w:rPr>
          <w:rFonts w:ascii="Arial" w:eastAsia="Calibri" w:hAnsi="Arial" w:cs="Arial"/>
          <w:spacing w:val="-1"/>
          <w:sz w:val="17"/>
          <w:szCs w:val="17"/>
        </w:rPr>
        <w:br w:type="page"/>
      </w: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975" w:type="dxa"/>
        <w:jc w:val="center"/>
        <w:tblCellMar>
          <w:left w:w="70" w:type="dxa"/>
          <w:right w:w="70" w:type="dxa"/>
        </w:tblCellMar>
        <w:tblLook w:val="04A0" w:firstRow="1" w:lastRow="0" w:firstColumn="1" w:lastColumn="0" w:noHBand="0" w:noVBand="1"/>
      </w:tblPr>
      <w:tblGrid>
        <w:gridCol w:w="4900"/>
        <w:gridCol w:w="2180"/>
        <w:gridCol w:w="2180"/>
        <w:gridCol w:w="2715"/>
      </w:tblGrid>
      <w:tr w:rsidR="006529CA" w:rsidRPr="002D70DA" w:rsidTr="00511782">
        <w:trPr>
          <w:trHeight w:val="567"/>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715"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715"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715"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715"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715"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A507C3">
            <w:pPr>
              <w:jc w:val="right"/>
              <w:rPr>
                <w:rFonts w:ascii="Arial" w:hAnsi="Arial" w:cs="Arial"/>
                <w:b/>
                <w:bCs/>
                <w:color w:val="000000"/>
                <w:sz w:val="17"/>
                <w:szCs w:val="17"/>
              </w:rPr>
            </w:pPr>
            <w:r>
              <w:rPr>
                <w:rFonts w:ascii="Arial" w:hAnsi="Arial" w:cs="Arial"/>
                <w:b/>
                <w:bCs/>
                <w:color w:val="000000"/>
                <w:sz w:val="17"/>
                <w:szCs w:val="17"/>
              </w:rPr>
              <w:t>14,588,148.62</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21538A">
            <w:pPr>
              <w:jc w:val="center"/>
              <w:rPr>
                <w:rFonts w:ascii="Arial" w:hAnsi="Arial" w:cs="Arial"/>
                <w:b/>
                <w:bCs/>
                <w:color w:val="000000"/>
                <w:sz w:val="17"/>
                <w:szCs w:val="17"/>
              </w:rPr>
            </w:pPr>
            <w:r>
              <w:rPr>
                <w:rFonts w:ascii="Arial" w:hAnsi="Arial" w:cs="Arial"/>
                <w:b/>
                <w:bCs/>
                <w:color w:val="000000"/>
                <w:sz w:val="17"/>
                <w:szCs w:val="17"/>
              </w:rPr>
              <w:t>ACREEDORA</w:t>
            </w:r>
          </w:p>
        </w:tc>
        <w:tc>
          <w:tcPr>
            <w:tcW w:w="2715"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715"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511782">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570AE1" w:rsidP="00A507C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529C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D93E48"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A507C3">
              <w:rPr>
                <w:rFonts w:ascii="Arial" w:hAnsi="Arial" w:cs="Arial"/>
                <w:b/>
                <w:bCs/>
                <w:color w:val="000000"/>
                <w:sz w:val="17"/>
                <w:szCs w:val="17"/>
              </w:rPr>
              <w:t>14,588,148.62</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715"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511782">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715"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511782">
        <w:trPr>
          <w:trHeight w:val="567"/>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715"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715"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715"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715"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715"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715"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715"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511782">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570AE1" w:rsidP="00A507C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529C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D93E48"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A507C3">
              <w:rPr>
                <w:rFonts w:ascii="Arial" w:hAnsi="Arial" w:cs="Arial"/>
                <w:b/>
                <w:bCs/>
                <w:color w:val="000000"/>
                <w:sz w:val="17"/>
                <w:szCs w:val="17"/>
              </w:rPr>
              <w:t>14,588,148.62</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715"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511782">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570AE1" w:rsidP="00A507C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D93E48"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00D93E48"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A507C3">
              <w:rPr>
                <w:rFonts w:ascii="Arial" w:hAnsi="Arial" w:cs="Arial"/>
                <w:b/>
                <w:bCs/>
                <w:color w:val="000000"/>
                <w:sz w:val="17"/>
                <w:szCs w:val="17"/>
              </w:rPr>
              <w:t>14,588,148.62</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715"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CC68C2" w:rsidP="00511782">
      <w:pPr>
        <w:rPr>
          <w:rFonts w:ascii="Arial" w:eastAsia="Calibri" w:hAnsi="Arial" w:cs="Arial"/>
          <w:spacing w:val="-1"/>
          <w:sz w:val="17"/>
          <w:szCs w:val="17"/>
        </w:rPr>
      </w:pPr>
      <w:r>
        <w:rPr>
          <w:rFonts w:ascii="Arial" w:eastAsia="Calibri" w:hAnsi="Arial" w:cs="Arial"/>
          <w:spacing w:val="-1"/>
          <w:sz w:val="17"/>
          <w:szCs w:val="17"/>
        </w:rPr>
        <w:br w:type="page"/>
      </w:r>
      <w:r w:rsidR="00692AFE" w:rsidRPr="002D70DA">
        <w:rPr>
          <w:rFonts w:ascii="Arial" w:eastAsia="Calibri" w:hAnsi="Arial" w:cs="Arial"/>
          <w:spacing w:val="-1"/>
          <w:sz w:val="17"/>
          <w:szCs w:val="17"/>
        </w:rPr>
        <w:lastRenderedPageBreak/>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00692AFE"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2314" w:type="dxa"/>
        <w:jc w:val="center"/>
        <w:tblCellMar>
          <w:left w:w="70" w:type="dxa"/>
          <w:right w:w="70" w:type="dxa"/>
        </w:tblCellMar>
        <w:tblLook w:val="04A0" w:firstRow="1" w:lastRow="0" w:firstColumn="1" w:lastColumn="0" w:noHBand="0" w:noVBand="1"/>
      </w:tblPr>
      <w:tblGrid>
        <w:gridCol w:w="4900"/>
        <w:gridCol w:w="2180"/>
        <w:gridCol w:w="2180"/>
        <w:gridCol w:w="3054"/>
      </w:tblGrid>
      <w:tr w:rsidR="00692AFE" w:rsidRPr="002D70DA" w:rsidTr="00511782">
        <w:trPr>
          <w:trHeight w:val="567"/>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3054"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3054"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3054"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51178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3054"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511782">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570AE1" w:rsidP="00692AF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92AFE"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92AFE"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3054"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289" w:type="dxa"/>
        <w:jc w:val="center"/>
        <w:tblCellMar>
          <w:left w:w="70" w:type="dxa"/>
          <w:right w:w="70" w:type="dxa"/>
        </w:tblCellMar>
        <w:tblLook w:val="04A0" w:firstRow="1" w:lastRow="0" w:firstColumn="1" w:lastColumn="0" w:noHBand="0" w:noVBand="1"/>
      </w:tblPr>
      <w:tblGrid>
        <w:gridCol w:w="7503"/>
        <w:gridCol w:w="1606"/>
        <w:gridCol w:w="2180"/>
      </w:tblGrid>
      <w:tr w:rsidR="000008C2" w:rsidRPr="002D70DA" w:rsidTr="00DB3CA6">
        <w:trPr>
          <w:trHeight w:val="480"/>
          <w:jc w:val="center"/>
        </w:trPr>
        <w:tc>
          <w:tcPr>
            <w:tcW w:w="750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1606"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48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48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48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48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IMPUESTO PARA EL FOMENTO DE LA EDUCACIÓN EN EL ESTADO, PARA CAMINOS Y SERVICIOS SOCIALES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48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CC68C2">
        <w:trPr>
          <w:trHeight w:val="227"/>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CC68C2">
        <w:trPr>
          <w:trHeight w:val="227"/>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CC68C2">
        <w:trPr>
          <w:trHeight w:val="227"/>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 EDUCACIÓN</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48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CC68C2">
        <w:trPr>
          <w:trHeight w:val="227"/>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CC68C2">
        <w:trPr>
          <w:trHeight w:val="227"/>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48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CC68C2">
        <w:trPr>
          <w:trHeight w:val="227"/>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CC68C2">
        <w:trPr>
          <w:trHeight w:val="227"/>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CC68C2">
        <w:trPr>
          <w:trHeight w:val="227"/>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A507C3">
            <w:pPr>
              <w:jc w:val="right"/>
              <w:rPr>
                <w:rFonts w:ascii="Arial" w:hAnsi="Arial" w:cs="Arial"/>
                <w:b/>
                <w:bCs/>
                <w:color w:val="000000"/>
                <w:sz w:val="17"/>
                <w:szCs w:val="17"/>
              </w:rPr>
            </w:pPr>
            <w:r>
              <w:rPr>
                <w:rFonts w:ascii="Arial" w:hAnsi="Arial" w:cs="Arial"/>
                <w:b/>
                <w:bCs/>
                <w:color w:val="000000"/>
                <w:sz w:val="17"/>
                <w:szCs w:val="17"/>
              </w:rPr>
              <w:t>595,132.71</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REINTEGROS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48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235C84">
            <w:pPr>
              <w:jc w:val="right"/>
              <w:rPr>
                <w:rFonts w:ascii="Arial" w:hAnsi="Arial" w:cs="Arial"/>
                <w:b/>
                <w:bCs/>
                <w:color w:val="000000"/>
                <w:sz w:val="17"/>
                <w:szCs w:val="17"/>
              </w:rPr>
            </w:pPr>
            <w:r>
              <w:rPr>
                <w:rFonts w:ascii="Arial" w:hAnsi="Arial" w:cs="Arial"/>
                <w:b/>
                <w:bCs/>
                <w:color w:val="000000"/>
                <w:sz w:val="17"/>
                <w:szCs w:val="17"/>
              </w:rPr>
              <w:t>216,412,167.38</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CC68C2">
        <w:trPr>
          <w:trHeight w:val="227"/>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CC68C2">
        <w:trPr>
          <w:trHeight w:val="227"/>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235C84">
            <w:pPr>
              <w:jc w:val="right"/>
              <w:rPr>
                <w:rFonts w:ascii="Arial" w:hAnsi="Arial" w:cs="Arial"/>
                <w:b/>
                <w:bCs/>
                <w:color w:val="000000"/>
                <w:sz w:val="17"/>
                <w:szCs w:val="17"/>
              </w:rPr>
            </w:pPr>
            <w:r>
              <w:rPr>
                <w:rFonts w:ascii="Arial" w:hAnsi="Arial" w:cs="Arial"/>
                <w:b/>
                <w:bCs/>
                <w:color w:val="000000"/>
                <w:sz w:val="17"/>
                <w:szCs w:val="17"/>
              </w:rPr>
              <w:t>67,136,577.07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CC68C2">
        <w:trPr>
          <w:trHeight w:val="227"/>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CC68C2">
        <w:trPr>
          <w:trHeight w:val="227"/>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48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CC68C2">
        <w:trPr>
          <w:trHeight w:val="319"/>
          <w:jc w:val="center"/>
        </w:trPr>
        <w:tc>
          <w:tcPr>
            <w:tcW w:w="7503"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1606"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DB3CA6">
        <w:trPr>
          <w:trHeight w:val="240"/>
          <w:jc w:val="center"/>
        </w:trPr>
        <w:tc>
          <w:tcPr>
            <w:tcW w:w="7503"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1606"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570AE1" w:rsidP="00235C84">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0008C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0008C2"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235C84">
              <w:rPr>
                <w:rFonts w:ascii="Arial" w:hAnsi="Arial" w:cs="Arial"/>
                <w:b/>
                <w:bCs/>
                <w:color w:val="000000"/>
                <w:sz w:val="17"/>
                <w:szCs w:val="17"/>
              </w:rPr>
              <w:t>284,143,877.16</w:t>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570AE1" w:rsidP="00EE16EB">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E16EB"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E16EB"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CC68C2" w:rsidRDefault="00CC68C2">
      <w:pPr>
        <w:rPr>
          <w:rFonts w:ascii="Arial" w:hAnsi="Arial" w:cs="Arial"/>
          <w:b/>
          <w:sz w:val="17"/>
          <w:szCs w:val="17"/>
        </w:rPr>
      </w:pPr>
      <w:r>
        <w:rPr>
          <w:rFonts w:ascii="Arial" w:hAnsi="Arial" w:cs="Arial"/>
          <w:b/>
          <w:sz w:val="17"/>
          <w:szCs w:val="17"/>
        </w:rPr>
        <w:br w:type="page"/>
      </w: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0509" w:type="dxa"/>
        <w:jc w:val="center"/>
        <w:tblCellMar>
          <w:left w:w="70" w:type="dxa"/>
          <w:right w:w="70" w:type="dxa"/>
        </w:tblCellMar>
        <w:tblLook w:val="04A0" w:firstRow="1" w:lastRow="0" w:firstColumn="1" w:lastColumn="0" w:noHBand="0" w:noVBand="1"/>
      </w:tblPr>
      <w:tblGrid>
        <w:gridCol w:w="6149"/>
        <w:gridCol w:w="2180"/>
        <w:gridCol w:w="2180"/>
      </w:tblGrid>
      <w:tr w:rsidR="00BC0DE0" w:rsidRPr="002D70DA" w:rsidTr="00511782">
        <w:trPr>
          <w:trHeight w:val="240"/>
          <w:jc w:val="center"/>
        </w:trPr>
        <w:tc>
          <w:tcPr>
            <w:tcW w:w="614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right"/>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511782">
        <w:trPr>
          <w:trHeight w:val="240"/>
          <w:jc w:val="center"/>
        </w:trPr>
        <w:tc>
          <w:tcPr>
            <w:tcW w:w="6149"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511782">
        <w:trPr>
          <w:trHeight w:val="480"/>
          <w:jc w:val="center"/>
        </w:trPr>
        <w:tc>
          <w:tcPr>
            <w:tcW w:w="614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511782">
        <w:trPr>
          <w:trHeight w:val="288"/>
          <w:jc w:val="center"/>
        </w:trPr>
        <w:tc>
          <w:tcPr>
            <w:tcW w:w="6149"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1D643D">
            <w:pPr>
              <w:rPr>
                <w:rFonts w:ascii="Arial" w:hAnsi="Arial" w:cs="Arial"/>
                <w:color w:val="000000"/>
                <w:sz w:val="17"/>
                <w:szCs w:val="17"/>
              </w:rPr>
            </w:pPr>
            <w:r>
              <w:rPr>
                <w:rFonts w:ascii="Arial" w:hAnsi="Arial" w:cs="Arial"/>
                <w:color w:val="000000"/>
                <w:sz w:val="17"/>
                <w:szCs w:val="17"/>
              </w:rPr>
              <w:t>51110 REMUNERACION AL PERSONAL DE CARÁCTER PERMANENTE</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1D643D">
            <w:pPr>
              <w:jc w:val="right"/>
              <w:rPr>
                <w:rFonts w:ascii="Arial" w:hAnsi="Arial" w:cs="Arial"/>
                <w:b/>
                <w:bCs/>
                <w:color w:val="000000"/>
                <w:sz w:val="17"/>
                <w:szCs w:val="17"/>
              </w:rPr>
            </w:pPr>
            <w:r>
              <w:rPr>
                <w:rFonts w:ascii="Arial" w:hAnsi="Arial" w:cs="Arial"/>
                <w:b/>
                <w:bCs/>
                <w:color w:val="000000"/>
                <w:sz w:val="17"/>
                <w:szCs w:val="17"/>
              </w:rPr>
              <w:t>209,852,302.32</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53372B">
            <w:pPr>
              <w:jc w:val="right"/>
              <w:rPr>
                <w:rFonts w:ascii="Arial" w:hAnsi="Arial" w:cs="Arial"/>
                <w:b/>
                <w:bCs/>
                <w:color w:val="000000"/>
                <w:sz w:val="17"/>
                <w:szCs w:val="17"/>
              </w:rPr>
            </w:pPr>
            <w:r>
              <w:rPr>
                <w:rFonts w:ascii="Arial" w:hAnsi="Arial" w:cs="Arial"/>
                <w:b/>
                <w:bCs/>
                <w:color w:val="000000"/>
                <w:sz w:val="17"/>
                <w:szCs w:val="17"/>
              </w:rPr>
              <w:t>38.53%</w:t>
            </w:r>
          </w:p>
        </w:tc>
      </w:tr>
      <w:tr w:rsidR="00BC0DE0" w:rsidRPr="002D70DA" w:rsidTr="00511782">
        <w:trPr>
          <w:trHeight w:val="288"/>
          <w:jc w:val="center"/>
        </w:trPr>
        <w:tc>
          <w:tcPr>
            <w:tcW w:w="6149"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1D643D">
            <w:pPr>
              <w:rPr>
                <w:rFonts w:ascii="Arial" w:hAnsi="Arial" w:cs="Arial"/>
                <w:color w:val="000000"/>
                <w:sz w:val="17"/>
                <w:szCs w:val="17"/>
              </w:rPr>
            </w:pPr>
            <w:r>
              <w:rPr>
                <w:rFonts w:ascii="Arial" w:hAnsi="Arial" w:cs="Arial"/>
                <w:color w:val="000000"/>
                <w:sz w:val="17"/>
                <w:szCs w:val="17"/>
              </w:rPr>
              <w:t>51130 REMUNERACIONES ADICIONALES Y ESPECIALES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1D643D">
            <w:pPr>
              <w:jc w:val="right"/>
              <w:rPr>
                <w:rFonts w:ascii="Arial" w:hAnsi="Arial" w:cs="Arial"/>
                <w:b/>
                <w:bCs/>
                <w:color w:val="000000"/>
                <w:sz w:val="17"/>
                <w:szCs w:val="17"/>
              </w:rPr>
            </w:pPr>
            <w:r>
              <w:rPr>
                <w:rFonts w:ascii="Arial" w:hAnsi="Arial" w:cs="Arial"/>
                <w:b/>
                <w:bCs/>
                <w:color w:val="000000"/>
                <w:sz w:val="17"/>
                <w:szCs w:val="17"/>
              </w:rPr>
              <w:t>37,834,848.80</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1D643D">
            <w:pPr>
              <w:jc w:val="right"/>
              <w:rPr>
                <w:rFonts w:ascii="Arial" w:hAnsi="Arial" w:cs="Arial"/>
                <w:b/>
                <w:bCs/>
                <w:color w:val="000000"/>
                <w:sz w:val="17"/>
                <w:szCs w:val="17"/>
              </w:rPr>
            </w:pPr>
            <w:r>
              <w:rPr>
                <w:rFonts w:ascii="Arial" w:hAnsi="Arial" w:cs="Arial"/>
                <w:b/>
                <w:bCs/>
                <w:color w:val="000000"/>
                <w:sz w:val="17"/>
                <w:szCs w:val="17"/>
              </w:rPr>
              <w:t>13.03%</w:t>
            </w:r>
          </w:p>
        </w:tc>
      </w:tr>
      <w:tr w:rsidR="00BC0DE0" w:rsidRPr="002D70DA" w:rsidTr="00511782">
        <w:trPr>
          <w:trHeight w:val="288"/>
          <w:jc w:val="center"/>
        </w:trPr>
        <w:tc>
          <w:tcPr>
            <w:tcW w:w="6149"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1D643D">
            <w:pPr>
              <w:rPr>
                <w:rFonts w:ascii="Arial" w:hAnsi="Arial" w:cs="Arial"/>
                <w:color w:val="000000"/>
                <w:sz w:val="17"/>
                <w:szCs w:val="17"/>
              </w:rPr>
            </w:pPr>
            <w:r>
              <w:rPr>
                <w:rFonts w:ascii="Arial" w:hAnsi="Arial" w:cs="Arial"/>
                <w:color w:val="000000"/>
                <w:sz w:val="17"/>
                <w:szCs w:val="17"/>
              </w:rPr>
              <w:t>51150 OTRAS PRESTACIONES SOCIALES Y ECONOMICAS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1D643D">
            <w:pPr>
              <w:jc w:val="right"/>
              <w:rPr>
                <w:rFonts w:ascii="Arial" w:hAnsi="Arial" w:cs="Arial"/>
                <w:b/>
                <w:bCs/>
                <w:color w:val="000000"/>
                <w:sz w:val="17"/>
                <w:szCs w:val="17"/>
              </w:rPr>
            </w:pPr>
            <w:r>
              <w:rPr>
                <w:rFonts w:ascii="Arial" w:hAnsi="Arial" w:cs="Arial"/>
                <w:b/>
                <w:bCs/>
                <w:color w:val="000000"/>
                <w:sz w:val="17"/>
                <w:szCs w:val="17"/>
              </w:rPr>
              <w:t>31,488,476.18</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1D643D">
            <w:pPr>
              <w:jc w:val="right"/>
              <w:rPr>
                <w:rFonts w:ascii="Arial" w:hAnsi="Arial" w:cs="Arial"/>
                <w:b/>
                <w:bCs/>
                <w:color w:val="000000"/>
                <w:sz w:val="17"/>
                <w:szCs w:val="17"/>
              </w:rPr>
            </w:pPr>
            <w:r>
              <w:rPr>
                <w:rFonts w:ascii="Arial" w:hAnsi="Arial" w:cs="Arial"/>
                <w:b/>
                <w:bCs/>
                <w:color w:val="000000"/>
                <w:sz w:val="17"/>
                <w:szCs w:val="17"/>
              </w:rPr>
              <w:t>10.84%</w:t>
            </w: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rsidP="00DB3CA6">
      <w:pPr>
        <w:rPr>
          <w:rFonts w:ascii="Arial" w:hAnsi="Arial" w:cs="Arial"/>
          <w:b/>
          <w:sz w:val="17"/>
          <w:szCs w:val="17"/>
        </w:rPr>
      </w:pPr>
      <w:r w:rsidRPr="002D70DA">
        <w:rPr>
          <w:rFonts w:ascii="Arial" w:hAnsi="Arial" w:cs="Arial"/>
          <w:b/>
          <w:sz w:val="17"/>
          <w:szCs w:val="17"/>
        </w:rPr>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570AE1" w:rsidP="00D0525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D0525E"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D0525E" w:rsidRPr="002D70DA">
              <w:rPr>
                <w:rFonts w:ascii="Arial" w:hAnsi="Arial" w:cs="Arial"/>
                <w:b/>
                <w:bCs/>
                <w:noProof/>
                <w:color w:val="000000"/>
                <w:sz w:val="17"/>
                <w:szCs w:val="17"/>
              </w:rPr>
              <w:t>($982,430,318.00)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56B01" w:rsidP="00D56B01">
            <w:pPr>
              <w:jc w:val="right"/>
              <w:rPr>
                <w:rFonts w:ascii="Arial" w:hAnsi="Arial" w:cs="Arial"/>
                <w:b/>
                <w:bCs/>
                <w:color w:val="000000"/>
                <w:sz w:val="17"/>
                <w:szCs w:val="17"/>
              </w:rPr>
            </w:pPr>
            <w:r>
              <w:rPr>
                <w:rFonts w:ascii="Arial" w:hAnsi="Arial" w:cs="Arial"/>
                <w:b/>
                <w:bCs/>
                <w:color w:val="000000"/>
                <w:sz w:val="17"/>
                <w:szCs w:val="17"/>
              </w:rPr>
              <w:t>(14,873,457.58)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56B01" w:rsidP="00D0525E">
            <w:pPr>
              <w:jc w:val="right"/>
              <w:rPr>
                <w:rFonts w:ascii="Arial" w:hAnsi="Arial" w:cs="Arial"/>
                <w:b/>
                <w:bCs/>
                <w:color w:val="000000"/>
                <w:sz w:val="17"/>
                <w:szCs w:val="17"/>
              </w:rPr>
            </w:pPr>
            <w:r>
              <w:rPr>
                <w:rFonts w:ascii="Arial" w:hAnsi="Arial" w:cs="Arial"/>
                <w:b/>
                <w:bCs/>
                <w:color w:val="000000"/>
                <w:sz w:val="17"/>
                <w:szCs w:val="17"/>
              </w:rPr>
              <w:t>4,371,970.09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570AE1" w:rsidP="00C462F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462F7"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C462F7" w:rsidRPr="002D70DA">
              <w:rPr>
                <w:rFonts w:ascii="Arial" w:hAnsi="Arial" w:cs="Arial"/>
                <w:b/>
                <w:bCs/>
                <w:noProof/>
                <w:color w:val="000000"/>
                <w:sz w:val="17"/>
                <w:szCs w:val="17"/>
              </w:rPr>
              <w:t>($982,430,318.00)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D56B01" w:rsidP="00C462F7">
            <w:pPr>
              <w:jc w:val="right"/>
              <w:rPr>
                <w:rFonts w:ascii="Arial" w:hAnsi="Arial" w:cs="Arial"/>
                <w:b/>
                <w:bCs/>
                <w:color w:val="000000"/>
                <w:sz w:val="17"/>
                <w:szCs w:val="17"/>
              </w:rPr>
            </w:pPr>
            <w:r>
              <w:rPr>
                <w:rFonts w:ascii="Arial" w:hAnsi="Arial" w:cs="Arial"/>
                <w:b/>
                <w:bCs/>
                <w:color w:val="000000"/>
                <w:sz w:val="17"/>
                <w:szCs w:val="17"/>
              </w:rPr>
              <w:t>(492,000.00)</w:t>
            </w:r>
            <w:r w:rsidR="00C462F7"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570AE1" w:rsidP="00C462F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462F7"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C462F7" w:rsidRPr="002D70DA">
              <w:rPr>
                <w:rFonts w:ascii="Arial" w:hAnsi="Arial" w:cs="Arial"/>
                <w:b/>
                <w:bCs/>
                <w:noProof/>
                <w:color w:val="000000"/>
                <w:sz w:val="17"/>
                <w:szCs w:val="17"/>
              </w:rPr>
              <w:t>($982,430,318.00)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570AE1" w:rsidP="00D56B01">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462F7"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C462F7"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D56B01">
              <w:rPr>
                <w:rFonts w:ascii="Arial" w:hAnsi="Arial" w:cs="Arial"/>
                <w:b/>
                <w:bCs/>
                <w:color w:val="000000"/>
                <w:sz w:val="17"/>
                <w:szCs w:val="17"/>
              </w:rPr>
              <w:t>6,122,679.00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570AE1" w:rsidP="00D56B01">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462F7"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C462F7"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D56B01">
              <w:rPr>
                <w:rFonts w:ascii="Arial" w:hAnsi="Arial" w:cs="Arial"/>
                <w:b/>
                <w:bCs/>
                <w:color w:val="000000"/>
                <w:sz w:val="17"/>
                <w:szCs w:val="17"/>
              </w:rPr>
              <w:t>6,785.90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570AE1" w:rsidP="00D56B01">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462F7"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C462F7"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D56B01">
              <w:rPr>
                <w:rFonts w:ascii="Arial" w:hAnsi="Arial" w:cs="Arial"/>
                <w:b/>
                <w:bCs/>
                <w:color w:val="000000"/>
                <w:sz w:val="17"/>
                <w:szCs w:val="17"/>
              </w:rPr>
              <w:t>(35,711,387.00)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5A2D74">
            <w:pPr>
              <w:jc w:val="right"/>
              <w:rPr>
                <w:rFonts w:ascii="Arial" w:hAnsi="Arial" w:cs="Arial"/>
                <w:b/>
                <w:bCs/>
                <w:color w:val="000000"/>
                <w:sz w:val="17"/>
                <w:szCs w:val="17"/>
              </w:rPr>
            </w:pPr>
            <w:r>
              <w:rPr>
                <w:rFonts w:ascii="Arial" w:hAnsi="Arial" w:cs="Arial"/>
                <w:b/>
                <w:bCs/>
                <w:color w:val="000000"/>
                <w:sz w:val="17"/>
                <w:szCs w:val="17"/>
              </w:rPr>
              <w:t>(35,711,387.00)</w:t>
            </w:r>
            <w:r w:rsidR="00C462F7"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570AE1" w:rsidP="00C462F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462F7"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C462F7"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570AE1" w:rsidP="005A2D74">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462F7"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C462F7"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5A2D74">
              <w:rPr>
                <w:rFonts w:ascii="Arial" w:hAnsi="Arial" w:cs="Arial"/>
                <w:b/>
                <w:bCs/>
                <w:color w:val="000000"/>
                <w:sz w:val="17"/>
                <w:szCs w:val="17"/>
              </w:rPr>
              <w:t>2,221,743.00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5A2D74">
            <w:pPr>
              <w:jc w:val="right"/>
              <w:rPr>
                <w:rFonts w:ascii="Arial" w:hAnsi="Arial" w:cs="Arial"/>
                <w:b/>
                <w:bCs/>
                <w:color w:val="000000"/>
                <w:sz w:val="17"/>
                <w:szCs w:val="17"/>
              </w:rPr>
            </w:pPr>
            <w:r>
              <w:rPr>
                <w:rFonts w:ascii="Arial" w:hAnsi="Arial" w:cs="Arial"/>
                <w:b/>
                <w:bCs/>
                <w:color w:val="000000"/>
                <w:sz w:val="17"/>
                <w:szCs w:val="17"/>
              </w:rPr>
              <w:t>2,221,743.00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pPr>
        <w:rPr>
          <w:rFonts w:ascii="Arial" w:eastAsia="Calibri" w:hAnsi="Arial" w:cs="Arial"/>
          <w:spacing w:val="-1"/>
          <w:sz w:val="17"/>
          <w:szCs w:val="17"/>
        </w:rPr>
      </w:pP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D56B01">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D56B01">
            <w:pPr>
              <w:jc w:val="right"/>
              <w:rPr>
                <w:rFonts w:ascii="Arial" w:hAnsi="Arial" w:cs="Arial"/>
                <w:b/>
                <w:bCs/>
                <w:color w:val="000000"/>
                <w:sz w:val="17"/>
                <w:szCs w:val="17"/>
              </w:rPr>
            </w:pPr>
            <w:r>
              <w:rPr>
                <w:rFonts w:ascii="Arial" w:hAnsi="Arial" w:cs="Arial"/>
                <w:b/>
                <w:bCs/>
                <w:color w:val="000000"/>
                <w:sz w:val="17"/>
                <w:szCs w:val="17"/>
              </w:rPr>
              <w:t>1,659,674.87</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D56B01">
            <w:pPr>
              <w:jc w:val="right"/>
              <w:rPr>
                <w:rFonts w:ascii="Arial" w:hAnsi="Arial" w:cs="Arial"/>
                <w:b/>
                <w:bCs/>
                <w:color w:val="000000"/>
                <w:sz w:val="17"/>
                <w:szCs w:val="17"/>
              </w:rPr>
            </w:pPr>
            <w:r>
              <w:rPr>
                <w:rFonts w:ascii="Arial" w:hAnsi="Arial" w:cs="Arial"/>
                <w:b/>
                <w:bCs/>
                <w:color w:val="000000"/>
                <w:sz w:val="17"/>
                <w:szCs w:val="17"/>
              </w:rPr>
              <w:t>895,959.99</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lastRenderedPageBreak/>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D56B01">
            <w:pPr>
              <w:jc w:val="right"/>
              <w:rPr>
                <w:rFonts w:ascii="Arial" w:hAnsi="Arial" w:cs="Arial"/>
                <w:b/>
                <w:bCs/>
                <w:color w:val="000000"/>
                <w:sz w:val="17"/>
                <w:szCs w:val="17"/>
              </w:rPr>
            </w:pPr>
            <w:r>
              <w:rPr>
                <w:rFonts w:ascii="Arial" w:hAnsi="Arial" w:cs="Arial"/>
                <w:b/>
                <w:bCs/>
                <w:color w:val="000000"/>
                <w:sz w:val="17"/>
                <w:szCs w:val="17"/>
              </w:rPr>
              <w:t>19,525,882.78</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D56B01">
            <w:pPr>
              <w:jc w:val="right"/>
              <w:rPr>
                <w:rFonts w:ascii="Arial" w:hAnsi="Arial" w:cs="Arial"/>
                <w:b/>
                <w:bCs/>
                <w:color w:val="000000"/>
                <w:sz w:val="17"/>
                <w:szCs w:val="17"/>
              </w:rPr>
            </w:pPr>
            <w:r>
              <w:rPr>
                <w:rFonts w:ascii="Arial" w:hAnsi="Arial" w:cs="Arial"/>
                <w:b/>
                <w:bCs/>
                <w:color w:val="000000"/>
                <w:sz w:val="17"/>
                <w:szCs w:val="17"/>
              </w:rPr>
              <w:t>617,778.84</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D56B01">
            <w:pPr>
              <w:jc w:val="right"/>
              <w:rPr>
                <w:rFonts w:ascii="Arial" w:hAnsi="Arial" w:cs="Arial"/>
                <w:b/>
                <w:bCs/>
                <w:color w:val="000000"/>
                <w:sz w:val="17"/>
                <w:szCs w:val="17"/>
              </w:rPr>
            </w:pPr>
            <w:r>
              <w:rPr>
                <w:rFonts w:ascii="Arial" w:hAnsi="Arial" w:cs="Arial"/>
                <w:b/>
                <w:bCs/>
                <w:color w:val="000000"/>
                <w:sz w:val="17"/>
                <w:szCs w:val="17"/>
              </w:rPr>
              <w:t>5,320,895.48</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570AE1" w:rsidP="00D56B01">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72587"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72587"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D56B01">
              <w:rPr>
                <w:rFonts w:ascii="Arial" w:hAnsi="Arial" w:cs="Arial"/>
                <w:b/>
                <w:bCs/>
                <w:color w:val="000000"/>
                <w:sz w:val="17"/>
                <w:szCs w:val="17"/>
              </w:rPr>
              <w:t>21,803,336.49</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570AE1" w:rsidP="00D56B01">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72587"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72587"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D56B01">
              <w:rPr>
                <w:rFonts w:ascii="Arial" w:hAnsi="Arial" w:cs="Arial"/>
                <w:b/>
                <w:bCs/>
                <w:color w:val="000000"/>
                <w:sz w:val="17"/>
                <w:szCs w:val="17"/>
              </w:rPr>
              <w:t>6,216,855.47</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5A2D74">
              <w:rPr>
                <w:rFonts w:ascii="Arial" w:hAnsi="Arial" w:cs="Arial"/>
                <w:b/>
                <w:bCs/>
                <w:color w:val="000000"/>
                <w:sz w:val="17"/>
                <w:szCs w:val="17"/>
              </w:rPr>
              <w:t>6</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w:t>
            </w:r>
            <w:r w:rsidR="0021538A">
              <w:rPr>
                <w:rFonts w:ascii="Arial" w:hAnsi="Arial" w:cs="Arial"/>
                <w:b/>
                <w:bCs/>
                <w:color w:val="000000"/>
                <w:sz w:val="17"/>
                <w:szCs w:val="17"/>
              </w:rPr>
              <w:t xml:space="preserve"> </w:t>
            </w:r>
            <w:r w:rsidRPr="002D70DA">
              <w:rPr>
                <w:rFonts w:ascii="Arial" w:hAnsi="Arial" w:cs="Arial"/>
                <w:b/>
                <w:bCs/>
                <w:color w:val="000000"/>
                <w:sz w:val="17"/>
                <w:szCs w:val="17"/>
              </w:rPr>
              <w:t>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B02A8">
            <w:pPr>
              <w:jc w:val="right"/>
              <w:rPr>
                <w:rFonts w:ascii="Arial" w:hAnsi="Arial" w:cs="Arial"/>
                <w:b/>
                <w:bCs/>
                <w:color w:val="000000"/>
                <w:sz w:val="17"/>
                <w:szCs w:val="17"/>
              </w:rPr>
            </w:pPr>
            <w:r>
              <w:rPr>
                <w:rFonts w:ascii="Arial" w:hAnsi="Arial" w:cs="Arial"/>
                <w:b/>
                <w:bCs/>
                <w:color w:val="000000"/>
                <w:sz w:val="17"/>
                <w:szCs w:val="17"/>
              </w:rPr>
              <w:t>(6,122,679.12)</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B02A8">
            <w:pPr>
              <w:jc w:val="right"/>
              <w:rPr>
                <w:rFonts w:ascii="Arial" w:hAnsi="Arial" w:cs="Arial"/>
                <w:b/>
                <w:bCs/>
                <w:color w:val="000000"/>
                <w:sz w:val="17"/>
                <w:szCs w:val="17"/>
              </w:rPr>
            </w:pPr>
            <w:r>
              <w:rPr>
                <w:rFonts w:ascii="Arial" w:hAnsi="Arial" w:cs="Arial"/>
                <w:b/>
                <w:bCs/>
                <w:color w:val="000000"/>
                <w:sz w:val="17"/>
                <w:szCs w:val="17"/>
              </w:rPr>
              <w:t>(4,991,632.00)</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570AE1" w:rsidP="00EB02A8">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F591E"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EF591E" w:rsidRPr="002D70DA">
              <w:rPr>
                <w:rFonts w:ascii="Arial" w:hAnsi="Arial" w:cs="Arial"/>
                <w:b/>
                <w:bCs/>
                <w:noProof/>
                <w:color w:val="000000"/>
                <w:sz w:val="17"/>
                <w:szCs w:val="17"/>
              </w:rPr>
              <w:t>$</w:t>
            </w:r>
            <w:r w:rsidR="00EB02A8">
              <w:rPr>
                <w:rFonts w:ascii="Arial" w:hAnsi="Arial" w:cs="Arial"/>
                <w:b/>
                <w:bCs/>
                <w:noProof/>
                <w:color w:val="000000"/>
                <w:sz w:val="17"/>
                <w:szCs w:val="17"/>
              </w:rPr>
              <w:t>243,474,693.89</w:t>
            </w:r>
            <w:r w:rsidR="00EF591E"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570AE1" w:rsidP="00EB02A8">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F591E"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EF591E"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EB02A8">
              <w:rPr>
                <w:rFonts w:ascii="Arial" w:hAnsi="Arial" w:cs="Arial"/>
                <w:b/>
                <w:bCs/>
                <w:color w:val="000000"/>
                <w:sz w:val="17"/>
                <w:szCs w:val="17"/>
              </w:rPr>
              <w:t>198,799,472.00</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B02A8">
            <w:pPr>
              <w:jc w:val="right"/>
              <w:rPr>
                <w:rFonts w:ascii="Arial" w:hAnsi="Arial" w:cs="Arial"/>
                <w:b/>
                <w:bCs/>
                <w:color w:val="000000"/>
                <w:sz w:val="17"/>
                <w:szCs w:val="17"/>
              </w:rPr>
            </w:pPr>
            <w:r>
              <w:rPr>
                <w:rFonts w:ascii="Arial" w:hAnsi="Arial" w:cs="Arial"/>
                <w:b/>
                <w:bCs/>
                <w:color w:val="000000"/>
                <w:sz w:val="17"/>
                <w:szCs w:val="17"/>
              </w:rPr>
              <w:t>25,586,434.69</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B02A8">
            <w:pPr>
              <w:jc w:val="right"/>
              <w:rPr>
                <w:rFonts w:ascii="Arial" w:hAnsi="Arial" w:cs="Arial"/>
                <w:b/>
                <w:bCs/>
                <w:color w:val="000000"/>
                <w:sz w:val="17"/>
                <w:szCs w:val="17"/>
              </w:rPr>
            </w:pPr>
            <w:r>
              <w:rPr>
                <w:rFonts w:ascii="Arial" w:hAnsi="Arial" w:cs="Arial"/>
                <w:b/>
                <w:bCs/>
                <w:color w:val="000000"/>
                <w:sz w:val="17"/>
                <w:szCs w:val="17"/>
              </w:rPr>
              <w:t>16,622,600.00</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B02A8">
            <w:pPr>
              <w:jc w:val="right"/>
              <w:rPr>
                <w:rFonts w:ascii="Arial" w:hAnsi="Arial" w:cs="Arial"/>
                <w:b/>
                <w:bCs/>
                <w:color w:val="000000"/>
                <w:sz w:val="17"/>
                <w:szCs w:val="17"/>
              </w:rPr>
            </w:pPr>
            <w:r>
              <w:rPr>
                <w:rFonts w:ascii="Arial" w:hAnsi="Arial" w:cs="Arial"/>
                <w:b/>
                <w:bCs/>
                <w:color w:val="000000"/>
                <w:sz w:val="17"/>
                <w:szCs w:val="17"/>
              </w:rPr>
              <w:t>217,888,259.20</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B02A8">
            <w:pPr>
              <w:jc w:val="right"/>
              <w:rPr>
                <w:rFonts w:ascii="Arial" w:hAnsi="Arial" w:cs="Arial"/>
                <w:b/>
                <w:bCs/>
                <w:color w:val="000000"/>
                <w:sz w:val="17"/>
                <w:szCs w:val="17"/>
              </w:rPr>
            </w:pPr>
            <w:r>
              <w:rPr>
                <w:rFonts w:ascii="Arial" w:hAnsi="Arial" w:cs="Arial"/>
                <w:b/>
                <w:bCs/>
                <w:color w:val="000000"/>
                <w:sz w:val="17"/>
                <w:szCs w:val="17"/>
              </w:rPr>
              <w:t>182,176,872.00</w:t>
            </w:r>
          </w:p>
        </w:tc>
      </w:tr>
      <w:tr w:rsidR="00EF591E" w:rsidRPr="002D70DA" w:rsidTr="00CC68C2">
        <w:trPr>
          <w:trHeight w:val="227"/>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570AE1" w:rsidP="0021538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F591E"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EF591E"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21538A">
              <w:rPr>
                <w:rFonts w:ascii="Arial" w:hAnsi="Arial" w:cs="Arial"/>
                <w:b/>
                <w:bCs/>
                <w:color w:val="000000"/>
                <w:sz w:val="17"/>
                <w:szCs w:val="17"/>
              </w:rPr>
              <w:t>237,352,014.77</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570AE1" w:rsidP="00EB02A8">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F591E"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EF591E"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EB02A8">
              <w:rPr>
                <w:rFonts w:ascii="Arial" w:hAnsi="Arial" w:cs="Arial"/>
                <w:b/>
                <w:bCs/>
                <w:color w:val="000000"/>
                <w:sz w:val="17"/>
                <w:szCs w:val="17"/>
              </w:rPr>
              <w:t>193,807.840.00</w:t>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rsidP="00471F46">
      <w:pPr>
        <w:rPr>
          <w:rFonts w:ascii="Arial" w:hAnsi="Arial" w:cs="Arial"/>
          <w:b/>
          <w:sz w:val="17"/>
          <w:szCs w:val="17"/>
        </w:rPr>
      </w:pPr>
      <w:r w:rsidRPr="002D70DA">
        <w:rPr>
          <w:rFonts w:ascii="Arial" w:hAnsi="Arial" w:cs="Arial"/>
          <w:b/>
          <w:sz w:val="17"/>
          <w:szCs w:val="17"/>
        </w:rPr>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A2D74">
            <w:pPr>
              <w:jc w:val="right"/>
              <w:rPr>
                <w:rFonts w:ascii="Arial" w:hAnsi="Arial" w:cs="Arial"/>
                <w:b/>
                <w:bCs/>
                <w:color w:val="000000"/>
                <w:sz w:val="17"/>
                <w:szCs w:val="17"/>
              </w:rPr>
            </w:pPr>
            <w:r>
              <w:rPr>
                <w:rFonts w:ascii="Arial" w:hAnsi="Arial" w:cs="Arial"/>
                <w:b/>
                <w:bCs/>
                <w:color w:val="000000"/>
                <w:sz w:val="17"/>
                <w:szCs w:val="17"/>
              </w:rPr>
              <w:t>288,139,497.85</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70AE1" w:rsidP="002746E2">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70AE1" w:rsidP="00CE089D">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CE089D">
              <w:rPr>
                <w:rFonts w:ascii="Arial" w:hAnsi="Arial" w:cs="Arial"/>
                <w:b/>
                <w:bCs/>
                <w:color w:val="000000"/>
                <w:sz w:val="17"/>
                <w:szCs w:val="17"/>
              </w:rPr>
              <w:t>3,995,620.69</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CE089D" w:rsidP="002746E2">
            <w:pPr>
              <w:jc w:val="right"/>
              <w:rPr>
                <w:rFonts w:ascii="Arial" w:hAnsi="Arial" w:cs="Arial"/>
                <w:b/>
                <w:bCs/>
                <w:color w:val="000000"/>
                <w:sz w:val="17"/>
                <w:szCs w:val="17"/>
              </w:rPr>
            </w:pPr>
            <w:r>
              <w:rPr>
                <w:rFonts w:ascii="Arial" w:hAnsi="Arial" w:cs="Arial"/>
                <w:b/>
                <w:bCs/>
                <w:color w:val="000000"/>
                <w:sz w:val="17"/>
                <w:szCs w:val="17"/>
              </w:rPr>
              <w:t>3,995,620.69</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70AE1" w:rsidP="00CE089D">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CE089D">
              <w:rPr>
                <w:rFonts w:ascii="Arial" w:hAnsi="Arial" w:cs="Arial"/>
                <w:b/>
                <w:bCs/>
                <w:color w:val="000000"/>
                <w:sz w:val="17"/>
                <w:szCs w:val="17"/>
              </w:rPr>
              <w:t>284,143,877.16</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CE089D" w:rsidP="000631D2">
            <w:pPr>
              <w:jc w:val="right"/>
              <w:rPr>
                <w:rFonts w:ascii="Arial" w:hAnsi="Arial" w:cs="Arial"/>
                <w:b/>
                <w:bCs/>
                <w:color w:val="000000"/>
                <w:sz w:val="17"/>
                <w:szCs w:val="17"/>
              </w:rPr>
            </w:pPr>
            <w:r>
              <w:rPr>
                <w:rFonts w:ascii="Arial" w:hAnsi="Arial" w:cs="Arial"/>
                <w:b/>
                <w:bCs/>
                <w:color w:val="000000"/>
                <w:sz w:val="17"/>
                <w:szCs w:val="17"/>
              </w:rPr>
              <w:t>2</w:t>
            </w:r>
            <w:r w:rsidR="000631D2">
              <w:rPr>
                <w:rFonts w:ascii="Arial" w:hAnsi="Arial" w:cs="Arial"/>
                <w:b/>
                <w:bCs/>
                <w:color w:val="000000"/>
                <w:sz w:val="17"/>
                <w:szCs w:val="17"/>
              </w:rPr>
              <w:t>86,588,631.75</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70AE1" w:rsidP="00FB30A6">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CE089D">
              <w:rPr>
                <w:rFonts w:ascii="Arial" w:hAnsi="Arial" w:cs="Arial"/>
                <w:b/>
                <w:bCs/>
                <w:color w:val="000000"/>
                <w:sz w:val="17"/>
                <w:szCs w:val="17"/>
              </w:rPr>
              <w:t>5,294,909.</w:t>
            </w:r>
            <w:r w:rsidR="00FB30A6">
              <w:rPr>
                <w:rFonts w:ascii="Arial" w:hAnsi="Arial" w:cs="Arial"/>
                <w:b/>
                <w:bCs/>
                <w:color w:val="000000"/>
                <w:sz w:val="17"/>
                <w:szCs w:val="17"/>
              </w:rPr>
              <w:t>41</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CE089D" w:rsidP="002746E2">
            <w:pPr>
              <w:jc w:val="right"/>
              <w:rPr>
                <w:rFonts w:ascii="Arial" w:hAnsi="Arial" w:cs="Arial"/>
                <w:b/>
                <w:bCs/>
                <w:color w:val="000000"/>
                <w:sz w:val="17"/>
                <w:szCs w:val="17"/>
              </w:rPr>
            </w:pPr>
            <w:r>
              <w:rPr>
                <w:rFonts w:ascii="Arial" w:hAnsi="Arial" w:cs="Arial"/>
                <w:b/>
                <w:bCs/>
                <w:color w:val="000000"/>
                <w:sz w:val="17"/>
                <w:szCs w:val="17"/>
              </w:rPr>
              <w:t>3,760,965.76</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CE089D" w:rsidP="002746E2">
            <w:pPr>
              <w:jc w:val="right"/>
              <w:rPr>
                <w:rFonts w:ascii="Arial" w:hAnsi="Arial" w:cs="Arial"/>
                <w:b/>
                <w:bCs/>
                <w:color w:val="000000"/>
                <w:sz w:val="17"/>
                <w:szCs w:val="17"/>
              </w:rPr>
            </w:pPr>
            <w:r>
              <w:rPr>
                <w:rFonts w:ascii="Arial" w:hAnsi="Arial" w:cs="Arial"/>
                <w:b/>
                <w:bCs/>
                <w:color w:val="000000"/>
                <w:sz w:val="17"/>
                <w:szCs w:val="17"/>
              </w:rPr>
              <w:t>663,209.86</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CE089D" w:rsidP="002746E2">
            <w:pPr>
              <w:jc w:val="right"/>
              <w:rPr>
                <w:rFonts w:ascii="Arial" w:hAnsi="Arial" w:cs="Arial"/>
                <w:b/>
                <w:bCs/>
                <w:color w:val="000000"/>
                <w:sz w:val="17"/>
                <w:szCs w:val="17"/>
              </w:rPr>
            </w:pPr>
            <w:r>
              <w:rPr>
                <w:rFonts w:ascii="Arial" w:hAnsi="Arial" w:cs="Arial"/>
                <w:b/>
                <w:bCs/>
                <w:color w:val="000000"/>
                <w:sz w:val="17"/>
                <w:szCs w:val="17"/>
              </w:rPr>
              <w:t>77,172.13</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CE089D" w:rsidP="002746E2">
            <w:pPr>
              <w:jc w:val="right"/>
              <w:rPr>
                <w:rFonts w:ascii="Arial" w:hAnsi="Arial" w:cs="Arial"/>
                <w:b/>
                <w:bCs/>
                <w:color w:val="000000"/>
                <w:sz w:val="17"/>
                <w:szCs w:val="17"/>
              </w:rPr>
            </w:pPr>
            <w:r>
              <w:rPr>
                <w:rFonts w:ascii="Arial" w:hAnsi="Arial" w:cs="Arial"/>
                <w:b/>
                <w:bCs/>
                <w:color w:val="000000"/>
                <w:sz w:val="17"/>
                <w:szCs w:val="17"/>
              </w:rPr>
              <w:t>623,275.98</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CE089D" w:rsidP="002746E2">
            <w:pPr>
              <w:jc w:val="right"/>
              <w:rPr>
                <w:rFonts w:ascii="Arial" w:hAnsi="Arial" w:cs="Arial"/>
                <w:b/>
                <w:bCs/>
                <w:color w:val="000000"/>
                <w:sz w:val="17"/>
                <w:szCs w:val="17"/>
              </w:rPr>
            </w:pPr>
            <w:r>
              <w:rPr>
                <w:rFonts w:ascii="Arial" w:hAnsi="Arial" w:cs="Arial"/>
                <w:b/>
                <w:bCs/>
                <w:color w:val="000000"/>
                <w:sz w:val="17"/>
                <w:szCs w:val="17"/>
              </w:rPr>
              <w:t>170,285.68</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70AE1" w:rsidP="00CE089D">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CE089D">
              <w:rPr>
                <w:rFonts w:ascii="Arial" w:hAnsi="Arial" w:cs="Arial"/>
                <w:b/>
                <w:bCs/>
                <w:color w:val="000000"/>
                <w:sz w:val="17"/>
                <w:szCs w:val="17"/>
              </w:rPr>
              <w:t>8,972,833.94</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CE089D" w:rsidP="002746E2">
            <w:pPr>
              <w:jc w:val="right"/>
              <w:rPr>
                <w:rFonts w:ascii="Arial" w:hAnsi="Arial" w:cs="Arial"/>
                <w:b/>
                <w:bCs/>
                <w:color w:val="000000"/>
                <w:sz w:val="17"/>
                <w:szCs w:val="17"/>
              </w:rPr>
            </w:pPr>
            <w:r>
              <w:rPr>
                <w:rFonts w:ascii="Arial" w:hAnsi="Arial" w:cs="Arial"/>
                <w:b/>
                <w:bCs/>
                <w:color w:val="000000"/>
                <w:sz w:val="17"/>
                <w:szCs w:val="17"/>
              </w:rPr>
              <w:t>8,972,833.94</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70AE1" w:rsidP="00FB30A6">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CE089D">
              <w:rPr>
                <w:rFonts w:ascii="Arial" w:hAnsi="Arial" w:cs="Arial"/>
                <w:b/>
                <w:bCs/>
                <w:color w:val="000000"/>
                <w:sz w:val="17"/>
                <w:szCs w:val="17"/>
              </w:rPr>
              <w:t>290,266,556.</w:t>
            </w:r>
            <w:r w:rsidR="00FB30A6">
              <w:rPr>
                <w:rFonts w:ascii="Arial" w:hAnsi="Arial" w:cs="Arial"/>
                <w:b/>
                <w:bCs/>
                <w:color w:val="000000"/>
                <w:sz w:val="17"/>
                <w:szCs w:val="17"/>
              </w:rPr>
              <w:t>28</w:t>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CC68C2" w:rsidRDefault="00CC68C2">
      <w:pPr>
        <w:rPr>
          <w:rFonts w:ascii="Arial" w:hAnsi="Arial" w:cs="Arial"/>
          <w:b/>
          <w:sz w:val="17"/>
          <w:szCs w:val="17"/>
        </w:rPr>
      </w:pPr>
      <w:r>
        <w:rPr>
          <w:rFonts w:ascii="Arial" w:hAnsi="Arial" w:cs="Arial"/>
          <w:b/>
          <w:sz w:val="17"/>
          <w:szCs w:val="17"/>
        </w:rPr>
        <w:br w:type="page"/>
      </w:r>
    </w:p>
    <w:p w:rsidR="0092346E" w:rsidRPr="002D70DA" w:rsidRDefault="0092346E" w:rsidP="00DB3CA6">
      <w:pP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CC68C2">
        <w:trPr>
          <w:trHeight w:val="227"/>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102E3B">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102E3B">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sidR="00102E3B">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570" w:type="dxa"/>
        <w:jc w:val="center"/>
        <w:tblCellMar>
          <w:left w:w="70" w:type="dxa"/>
          <w:right w:w="70" w:type="dxa"/>
        </w:tblCellMar>
        <w:tblLook w:val="04A0" w:firstRow="1" w:lastRow="0" w:firstColumn="1" w:lastColumn="0" w:noHBand="0" w:noVBand="1"/>
      </w:tblPr>
      <w:tblGrid>
        <w:gridCol w:w="5030"/>
        <w:gridCol w:w="2180"/>
        <w:gridCol w:w="2180"/>
        <w:gridCol w:w="2180"/>
      </w:tblGrid>
      <w:tr w:rsidR="002B5A44" w:rsidTr="00471F46">
        <w:trPr>
          <w:trHeight w:val="240"/>
          <w:jc w:val="center"/>
        </w:trPr>
        <w:tc>
          <w:tcPr>
            <w:tcW w:w="503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471F46">
        <w:trPr>
          <w:trHeight w:val="240"/>
          <w:jc w:val="center"/>
        </w:trPr>
        <w:tc>
          <w:tcPr>
            <w:tcW w:w="503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471F46">
        <w:trPr>
          <w:trHeight w:val="240"/>
          <w:jc w:val="center"/>
        </w:trPr>
        <w:tc>
          <w:tcPr>
            <w:tcW w:w="503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471F46">
        <w:trPr>
          <w:trHeight w:val="240"/>
          <w:jc w:val="center"/>
        </w:trPr>
        <w:tc>
          <w:tcPr>
            <w:tcW w:w="503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RPr="00471F46" w:rsidTr="00471F46">
        <w:trPr>
          <w:trHeight w:val="337"/>
          <w:jc w:val="center"/>
        </w:trPr>
        <w:tc>
          <w:tcPr>
            <w:tcW w:w="503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Pr="00471F46" w:rsidRDefault="002B5A44" w:rsidP="00471F46">
            <w:pPr>
              <w:rPr>
                <w:rFonts w:ascii="Calibri" w:hAnsi="Calibri"/>
                <w:color w:val="000000"/>
                <w:sz w:val="18"/>
                <w:szCs w:val="18"/>
              </w:rPr>
            </w:pPr>
            <w:r w:rsidRPr="00471F46">
              <w:rPr>
                <w:rFonts w:ascii="Calibri" w:hAnsi="Calibri"/>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Pr="00471F46" w:rsidRDefault="002B5A44" w:rsidP="00471F46">
            <w:pPr>
              <w:rPr>
                <w:rFonts w:ascii="Calibri" w:hAnsi="Calibri"/>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Pr="00471F46" w:rsidRDefault="002B5A44" w:rsidP="00471F46">
            <w:pPr>
              <w:rPr>
                <w:rFonts w:ascii="Calibri" w:hAnsi="Calibri"/>
                <w:color w:val="000000"/>
                <w:sz w:val="18"/>
                <w:szCs w:val="18"/>
              </w:rPr>
            </w:pPr>
            <w:r w:rsidRPr="00471F46">
              <w:rPr>
                <w:rFonts w:ascii="Calibri" w:hAnsi="Calibri"/>
                <w:color w:val="000000"/>
                <w:sz w:val="18"/>
                <w:szCs w:val="18"/>
              </w:rPr>
              <w:t> </w:t>
            </w:r>
          </w:p>
        </w:tc>
      </w:tr>
      <w:tr w:rsidR="002B5A44" w:rsidTr="00471F46">
        <w:trPr>
          <w:trHeight w:val="240"/>
          <w:jc w:val="center"/>
        </w:trPr>
        <w:tc>
          <w:tcPr>
            <w:tcW w:w="503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471F46">
        <w:trPr>
          <w:trHeight w:val="240"/>
          <w:jc w:val="center"/>
        </w:trPr>
        <w:tc>
          <w:tcPr>
            <w:tcW w:w="503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471F46">
        <w:trPr>
          <w:trHeight w:val="240"/>
          <w:jc w:val="center"/>
        </w:trPr>
        <w:tc>
          <w:tcPr>
            <w:tcW w:w="503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471F46">
        <w:trPr>
          <w:trHeight w:val="240"/>
          <w:jc w:val="center"/>
        </w:trPr>
        <w:tc>
          <w:tcPr>
            <w:tcW w:w="503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471F46">
        <w:trPr>
          <w:trHeight w:val="240"/>
          <w:jc w:val="center"/>
        </w:trPr>
        <w:tc>
          <w:tcPr>
            <w:tcW w:w="503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471F46">
        <w:trPr>
          <w:trHeight w:val="240"/>
          <w:jc w:val="center"/>
        </w:trPr>
        <w:tc>
          <w:tcPr>
            <w:tcW w:w="503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511782" w:rsidRDefault="00511782" w:rsidP="00A11F66">
      <w:pPr>
        <w:autoSpaceDE w:val="0"/>
        <w:autoSpaceDN w:val="0"/>
        <w:adjustRightInd w:val="0"/>
        <w:spacing w:before="240" w:after="120"/>
        <w:jc w:val="both"/>
        <w:rPr>
          <w:rFonts w:ascii="Arial" w:hAnsi="Arial" w:cs="Arial"/>
          <w:b/>
          <w:sz w:val="17"/>
          <w:szCs w:val="17"/>
        </w:rPr>
      </w:pPr>
    </w:p>
    <w:p w:rsidR="00511782" w:rsidRDefault="00511782">
      <w:pPr>
        <w:rPr>
          <w:rFonts w:ascii="Arial" w:hAnsi="Arial" w:cs="Arial"/>
          <w:b/>
          <w:sz w:val="17"/>
          <w:szCs w:val="17"/>
        </w:rPr>
      </w:pPr>
      <w:r>
        <w:rPr>
          <w:rFonts w:ascii="Arial" w:hAnsi="Arial" w:cs="Arial"/>
          <w:b/>
          <w:sz w:val="17"/>
          <w:szCs w:val="17"/>
        </w:rPr>
        <w:br w:type="page"/>
      </w: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lastRenderedPageBreak/>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0B6A47">
            <w:pPr>
              <w:jc w:val="right"/>
              <w:rPr>
                <w:rFonts w:ascii="Calibri" w:hAnsi="Calibri"/>
                <w:b/>
                <w:bCs/>
                <w:color w:val="000000"/>
                <w:sz w:val="18"/>
                <w:szCs w:val="18"/>
              </w:rPr>
            </w:pPr>
            <w:r>
              <w:rPr>
                <w:rFonts w:ascii="Calibri" w:hAnsi="Calibri"/>
                <w:b/>
                <w:bCs/>
                <w:color w:val="000000"/>
                <w:sz w:val="18"/>
                <w:szCs w:val="18"/>
              </w:rPr>
              <w:t>263,823,952.00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Default="00961E98">
            <w:pPr>
              <w:jc w:val="right"/>
              <w:rPr>
                <w:rFonts w:ascii="Calibri" w:hAnsi="Calibri"/>
                <w:b/>
                <w:bCs/>
                <w:color w:val="000000"/>
                <w:sz w:val="18"/>
                <w:szCs w:val="18"/>
              </w:rPr>
            </w:pPr>
            <w:r>
              <w:rPr>
                <w:rFonts w:ascii="Calibri" w:hAnsi="Calibri"/>
                <w:b/>
                <w:bCs/>
                <w:color w:val="000000"/>
                <w:sz w:val="18"/>
                <w:szCs w:val="18"/>
              </w:rPr>
              <w:t>(</w:t>
            </w:r>
            <w:r w:rsidR="000B6A47">
              <w:rPr>
                <w:rFonts w:ascii="Calibri" w:hAnsi="Calibri"/>
                <w:b/>
                <w:bCs/>
                <w:color w:val="000000"/>
                <w:sz w:val="18"/>
                <w:szCs w:val="18"/>
              </w:rPr>
              <w:t>3,995,620.74</w:t>
            </w:r>
            <w:r>
              <w:rPr>
                <w:rFonts w:ascii="Calibri" w:hAnsi="Calibri"/>
                <w:b/>
                <w:bCs/>
                <w:color w:val="000000"/>
                <w:sz w:val="18"/>
                <w:szCs w:val="18"/>
              </w:rPr>
              <w:t>)</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0B6A47">
            <w:pPr>
              <w:jc w:val="right"/>
              <w:rPr>
                <w:rFonts w:ascii="Calibri" w:hAnsi="Calibri"/>
                <w:b/>
                <w:bCs/>
                <w:color w:val="000000"/>
                <w:sz w:val="18"/>
                <w:szCs w:val="18"/>
              </w:rPr>
            </w:pPr>
            <w:r>
              <w:rPr>
                <w:rFonts w:ascii="Calibri" w:hAnsi="Calibri"/>
                <w:b/>
                <w:bCs/>
                <w:color w:val="000000"/>
                <w:sz w:val="18"/>
                <w:szCs w:val="18"/>
              </w:rPr>
              <w:t>24,315,545.90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C17CE0" w:rsidRDefault="000B6A47">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Default="00961E98">
            <w:pPr>
              <w:jc w:val="right"/>
              <w:rPr>
                <w:rFonts w:ascii="Calibri" w:hAnsi="Calibri"/>
                <w:b/>
                <w:bCs/>
                <w:color w:val="000000"/>
                <w:sz w:val="18"/>
                <w:szCs w:val="18"/>
              </w:rPr>
            </w:pPr>
            <w:r>
              <w:rPr>
                <w:rFonts w:ascii="Calibri" w:hAnsi="Calibri"/>
                <w:b/>
                <w:bCs/>
                <w:color w:val="000000"/>
                <w:sz w:val="18"/>
                <w:szCs w:val="18"/>
              </w:rPr>
              <w:t>(</w:t>
            </w:r>
            <w:r w:rsidR="000B6A47">
              <w:rPr>
                <w:rFonts w:ascii="Calibri" w:hAnsi="Calibri"/>
                <w:b/>
                <w:bCs/>
                <w:color w:val="000000"/>
                <w:sz w:val="18"/>
                <w:szCs w:val="18"/>
              </w:rPr>
              <w:t>284,143,877.16</w:t>
            </w:r>
            <w:r>
              <w:rPr>
                <w:rFonts w:ascii="Calibri" w:hAnsi="Calibri"/>
                <w:b/>
                <w:bCs/>
                <w:color w:val="000000"/>
                <w:sz w:val="18"/>
                <w:szCs w:val="18"/>
              </w:rPr>
              <w:t>)</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570AE1" w:rsidP="00961E98">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17CE0"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C17CE0" w:rsidRPr="002D70DA">
              <w:rPr>
                <w:rFonts w:ascii="Arial" w:hAnsi="Arial" w:cs="Arial"/>
                <w:b/>
                <w:bCs/>
                <w:noProof/>
                <w:color w:val="000000"/>
                <w:sz w:val="17"/>
                <w:szCs w:val="17"/>
              </w:rPr>
              <w:t xml:space="preserve">$ </w:t>
            </w:r>
            <w:r w:rsidR="00961E98">
              <w:rPr>
                <w:rFonts w:ascii="Arial" w:hAnsi="Arial" w:cs="Arial"/>
                <w:b/>
                <w:bCs/>
                <w:noProof/>
                <w:color w:val="000000"/>
                <w:sz w:val="17"/>
                <w:szCs w:val="17"/>
              </w:rPr>
              <w:t>00</w:t>
            </w:r>
            <w:r w:rsidR="00C17CE0"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961E98" w:rsidP="00C17CE0">
            <w:pPr>
              <w:jc w:val="right"/>
              <w:rPr>
                <w:rFonts w:ascii="Calibri" w:hAnsi="Calibri"/>
                <w:b/>
                <w:bCs/>
                <w:color w:val="000000"/>
                <w:sz w:val="18"/>
                <w:szCs w:val="18"/>
              </w:rPr>
            </w:pPr>
            <w:r>
              <w:rPr>
                <w:rFonts w:ascii="Calibri" w:hAnsi="Calibri"/>
                <w:b/>
                <w:bCs/>
                <w:color w:val="000000"/>
                <w:sz w:val="18"/>
                <w:szCs w:val="18"/>
              </w:rPr>
              <w:t>(</w:t>
            </w:r>
            <w:r w:rsidR="000B6A47">
              <w:rPr>
                <w:rFonts w:ascii="Calibri" w:hAnsi="Calibri"/>
                <w:b/>
                <w:bCs/>
                <w:color w:val="000000"/>
                <w:sz w:val="18"/>
                <w:szCs w:val="18"/>
              </w:rPr>
              <w:t>263,823,952.00</w:t>
            </w:r>
            <w:r>
              <w:rPr>
                <w:rFonts w:ascii="Calibri" w:hAnsi="Calibri"/>
                <w:b/>
                <w:bCs/>
                <w:color w:val="000000"/>
                <w:sz w:val="18"/>
                <w:szCs w:val="18"/>
              </w:rPr>
              <w:t>)</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Default="000B6A47" w:rsidP="00C17CE0">
            <w:pPr>
              <w:jc w:val="right"/>
              <w:rPr>
                <w:rFonts w:ascii="Calibri" w:hAnsi="Calibri"/>
                <w:b/>
                <w:bCs/>
                <w:color w:val="000000"/>
                <w:sz w:val="18"/>
                <w:szCs w:val="18"/>
              </w:rPr>
            </w:pPr>
            <w:r>
              <w:rPr>
                <w:rFonts w:ascii="Calibri" w:hAnsi="Calibri"/>
                <w:b/>
                <w:bCs/>
                <w:color w:val="000000"/>
                <w:sz w:val="18"/>
                <w:szCs w:val="18"/>
              </w:rPr>
              <w:t>1,550,866.15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961E98" w:rsidP="00C17CE0">
            <w:pPr>
              <w:jc w:val="right"/>
              <w:rPr>
                <w:rFonts w:ascii="Calibri" w:hAnsi="Calibri"/>
                <w:b/>
                <w:bCs/>
                <w:color w:val="000000"/>
                <w:sz w:val="18"/>
                <w:szCs w:val="18"/>
              </w:rPr>
            </w:pPr>
            <w:r>
              <w:rPr>
                <w:rFonts w:ascii="Calibri" w:hAnsi="Calibri"/>
                <w:b/>
                <w:bCs/>
                <w:color w:val="000000"/>
                <w:sz w:val="18"/>
                <w:szCs w:val="18"/>
              </w:rPr>
              <w:t>(</w:t>
            </w:r>
            <w:r w:rsidR="000B6A47">
              <w:rPr>
                <w:rFonts w:ascii="Calibri" w:hAnsi="Calibri"/>
                <w:b/>
                <w:bCs/>
                <w:color w:val="000000"/>
                <w:sz w:val="18"/>
                <w:szCs w:val="18"/>
              </w:rPr>
              <w:t>24,315,545.90</w:t>
            </w:r>
            <w:r>
              <w:rPr>
                <w:rFonts w:ascii="Calibri" w:hAnsi="Calibri"/>
                <w:b/>
                <w:bCs/>
                <w:color w:val="000000"/>
                <w:sz w:val="18"/>
                <w:szCs w:val="18"/>
              </w:rPr>
              <w:t>)</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Default="000B6A47" w:rsidP="00C17CE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0B6A47" w:rsidP="00C17CE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C17CE0" w:rsidRDefault="000B6A47" w:rsidP="00C17CE0">
            <w:pPr>
              <w:jc w:val="right"/>
              <w:rPr>
                <w:rFonts w:ascii="Calibri" w:hAnsi="Calibri"/>
                <w:b/>
                <w:bCs/>
                <w:color w:val="000000"/>
                <w:sz w:val="18"/>
                <w:szCs w:val="18"/>
              </w:rPr>
            </w:pPr>
            <w:r>
              <w:rPr>
                <w:rFonts w:ascii="Calibri" w:hAnsi="Calibri"/>
                <w:b/>
                <w:bCs/>
                <w:color w:val="000000"/>
                <w:sz w:val="18"/>
                <w:szCs w:val="18"/>
              </w:rPr>
              <w:t>972,394.82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0B6A47" w:rsidP="00C17CE0">
            <w:pPr>
              <w:jc w:val="right"/>
              <w:rPr>
                <w:rFonts w:ascii="Calibri" w:hAnsi="Calibri"/>
                <w:b/>
                <w:bCs/>
                <w:color w:val="000000"/>
                <w:sz w:val="18"/>
                <w:szCs w:val="18"/>
              </w:rPr>
            </w:pPr>
            <w:r>
              <w:rPr>
                <w:rFonts w:ascii="Calibri" w:hAnsi="Calibri"/>
                <w:b/>
                <w:bCs/>
                <w:color w:val="000000"/>
                <w:sz w:val="18"/>
                <w:szCs w:val="18"/>
              </w:rPr>
              <w:t>285,616,236.93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570AE1" w:rsidP="00AA754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17CE0"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C17CE0"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1F326D" w:rsidRPr="002D70DA" w:rsidRDefault="001F326D" w:rsidP="00B83731">
      <w:pPr>
        <w:jc w:val="center"/>
        <w:rPr>
          <w:rFonts w:ascii="Arial" w:hAnsi="Arial" w:cs="Arial"/>
          <w:b/>
          <w:sz w:val="17"/>
          <w:szCs w:val="17"/>
        </w:rPr>
      </w:pPr>
      <w:r w:rsidRPr="002D70DA">
        <w:rPr>
          <w:rFonts w:ascii="Arial" w:hAnsi="Arial" w:cs="Arial"/>
          <w:b/>
          <w:sz w:val="17"/>
          <w:szCs w:val="17"/>
        </w:rPr>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 las principales condiciones económico- financieras bajo las cuales el ente público estuvo operando; y las cuales influyeron en la toma de decisiones de la administración; tanto a nivel local como federal.</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Fecha de creación del ente.</w:t>
      </w:r>
    </w:p>
    <w:p w:rsidR="00A67440" w:rsidRP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Principales cambios en su estructura.</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Objeto social.</w:t>
      </w:r>
    </w:p>
    <w:p w:rsidR="00961E98" w:rsidRPr="000526D5" w:rsidRDefault="00961E98" w:rsidP="00961E98">
      <w:pPr>
        <w:pStyle w:val="Prrafodelista"/>
        <w:spacing w:before="120" w:after="120" w:line="240" w:lineRule="exact"/>
        <w:ind w:left="1418" w:hanging="698"/>
        <w:jc w:val="both"/>
        <w:rPr>
          <w:rFonts w:ascii="Arial" w:eastAsia="Calibri" w:hAnsi="Arial" w:cs="Arial"/>
          <w:spacing w:val="-1"/>
          <w:sz w:val="17"/>
          <w:szCs w:val="17"/>
        </w:rPr>
      </w:pPr>
      <w:r w:rsidRPr="000526D5">
        <w:rPr>
          <w:rFonts w:ascii="Arial" w:eastAsia="Calibri" w:hAnsi="Arial" w:cs="Arial"/>
          <w:spacing w:val="-1"/>
          <w:sz w:val="17"/>
          <w:szCs w:val="17"/>
        </w:rPr>
        <w:t>1.</w:t>
      </w:r>
      <w:r w:rsidRPr="000526D5">
        <w:rPr>
          <w:rFonts w:ascii="Arial" w:eastAsia="Calibri" w:hAnsi="Arial" w:cs="Arial"/>
          <w:spacing w:val="-1"/>
          <w:sz w:val="17"/>
          <w:szCs w:val="17"/>
        </w:rPr>
        <w:tab/>
        <w:t>Formar técnicos superiores que hayan egresado del bachillerato, aptos para la aplicación de conocimientos y la solución creativa de problemas con sentido de innovación y la incorporación de los avances científicos y tecnológicos;</w:t>
      </w:r>
    </w:p>
    <w:p w:rsidR="00961E98" w:rsidRPr="000526D5" w:rsidRDefault="00961E98" w:rsidP="00961E98">
      <w:pPr>
        <w:pStyle w:val="Prrafodelista"/>
        <w:spacing w:before="120" w:after="120" w:line="240" w:lineRule="exact"/>
        <w:ind w:left="1418" w:hanging="698"/>
        <w:jc w:val="both"/>
        <w:rPr>
          <w:rFonts w:ascii="Arial" w:eastAsia="Calibri" w:hAnsi="Arial" w:cs="Arial"/>
          <w:spacing w:val="-1"/>
          <w:sz w:val="17"/>
          <w:szCs w:val="17"/>
        </w:rPr>
      </w:pPr>
      <w:r w:rsidRPr="000526D5">
        <w:rPr>
          <w:rFonts w:ascii="Arial" w:eastAsia="Calibri" w:hAnsi="Arial" w:cs="Arial"/>
          <w:spacing w:val="-1"/>
          <w:sz w:val="17"/>
          <w:szCs w:val="17"/>
        </w:rPr>
        <w:t>2.</w:t>
      </w:r>
      <w:r w:rsidRPr="000526D5">
        <w:rPr>
          <w:rFonts w:ascii="Arial" w:eastAsia="Calibri" w:hAnsi="Arial" w:cs="Arial"/>
          <w:spacing w:val="-1"/>
          <w:sz w:val="17"/>
          <w:szCs w:val="17"/>
        </w:rPr>
        <w:tab/>
        <w:t>Realizar investigación en las áreas de su competencia, que se traduzcan en aportaciones concretas que contribuyan al mejoramiento y mayor eficiencia de la producción industrial y de servicios, y a la elevación de la calidad de vida de la comunidad.;</w:t>
      </w:r>
    </w:p>
    <w:p w:rsidR="00961E98" w:rsidRPr="000526D5" w:rsidRDefault="00961E98" w:rsidP="00961E98">
      <w:pPr>
        <w:pStyle w:val="Prrafodelista"/>
        <w:spacing w:before="120" w:after="120" w:line="240" w:lineRule="exact"/>
        <w:jc w:val="both"/>
        <w:rPr>
          <w:rFonts w:ascii="Arial" w:eastAsia="Calibri" w:hAnsi="Arial" w:cs="Arial"/>
          <w:spacing w:val="-1"/>
          <w:sz w:val="17"/>
          <w:szCs w:val="17"/>
        </w:rPr>
      </w:pPr>
      <w:r w:rsidRPr="000526D5">
        <w:rPr>
          <w:rFonts w:ascii="Arial" w:eastAsia="Calibri" w:hAnsi="Arial" w:cs="Arial"/>
          <w:spacing w:val="-1"/>
          <w:sz w:val="17"/>
          <w:szCs w:val="17"/>
        </w:rPr>
        <w:t>3.</w:t>
      </w:r>
      <w:r w:rsidRPr="000526D5">
        <w:rPr>
          <w:rFonts w:ascii="Arial" w:eastAsia="Calibri" w:hAnsi="Arial" w:cs="Arial"/>
          <w:spacing w:val="-1"/>
          <w:sz w:val="17"/>
          <w:szCs w:val="17"/>
        </w:rPr>
        <w:tab/>
        <w:t xml:space="preserve">Desarrollar programas de apoyo técnico en beneficio de la comunidad; </w:t>
      </w:r>
    </w:p>
    <w:p w:rsidR="00961E98" w:rsidRPr="000526D5" w:rsidRDefault="00961E98" w:rsidP="00961E98">
      <w:pPr>
        <w:pStyle w:val="Prrafodelista"/>
        <w:spacing w:before="120" w:after="120" w:line="240" w:lineRule="exact"/>
        <w:jc w:val="both"/>
        <w:rPr>
          <w:rFonts w:ascii="Arial" w:eastAsia="Calibri" w:hAnsi="Arial" w:cs="Arial"/>
          <w:spacing w:val="-1"/>
          <w:sz w:val="17"/>
          <w:szCs w:val="17"/>
        </w:rPr>
      </w:pPr>
      <w:r w:rsidRPr="000526D5">
        <w:rPr>
          <w:rFonts w:ascii="Arial" w:eastAsia="Calibri" w:hAnsi="Arial" w:cs="Arial"/>
          <w:spacing w:val="-1"/>
          <w:sz w:val="17"/>
          <w:szCs w:val="17"/>
        </w:rPr>
        <w:t>4.</w:t>
      </w:r>
      <w:r w:rsidRPr="000526D5">
        <w:rPr>
          <w:rFonts w:ascii="Arial" w:eastAsia="Calibri" w:hAnsi="Arial" w:cs="Arial"/>
          <w:spacing w:val="-1"/>
          <w:sz w:val="17"/>
          <w:szCs w:val="17"/>
        </w:rPr>
        <w:tab/>
        <w:t xml:space="preserve">Promover la cultura científica y tecnológica nacional y universal, y </w:t>
      </w:r>
    </w:p>
    <w:p w:rsidR="00961E98" w:rsidRDefault="00961E98" w:rsidP="00961E98">
      <w:pPr>
        <w:pStyle w:val="Prrafodelista"/>
        <w:spacing w:before="120" w:after="120" w:line="240" w:lineRule="exact"/>
        <w:jc w:val="both"/>
        <w:rPr>
          <w:rFonts w:ascii="Arial" w:eastAsia="Calibri" w:hAnsi="Arial" w:cs="Arial"/>
          <w:spacing w:val="-1"/>
          <w:sz w:val="17"/>
          <w:szCs w:val="17"/>
        </w:rPr>
      </w:pPr>
      <w:r w:rsidRPr="000526D5">
        <w:rPr>
          <w:rFonts w:ascii="Arial" w:eastAsia="Calibri" w:hAnsi="Arial" w:cs="Arial"/>
          <w:spacing w:val="-1"/>
          <w:sz w:val="17"/>
          <w:szCs w:val="17"/>
        </w:rPr>
        <w:t>5.</w:t>
      </w:r>
      <w:r w:rsidRPr="000526D5">
        <w:rPr>
          <w:rFonts w:ascii="Arial" w:eastAsia="Calibri" w:hAnsi="Arial" w:cs="Arial"/>
          <w:spacing w:val="-1"/>
          <w:sz w:val="17"/>
          <w:szCs w:val="17"/>
        </w:rPr>
        <w:tab/>
        <w:t xml:space="preserve">Desarrollar las funciones de vinculación con los sectores público, privado y social para contribuir con el desarrollo tecnológico y social de la comunidad. </w:t>
      </w:r>
    </w:p>
    <w:p w:rsidR="00961E98" w:rsidRPr="00B96FE7" w:rsidRDefault="00961E98" w:rsidP="00961E98">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6. </w:t>
      </w:r>
      <w:r>
        <w:rPr>
          <w:rFonts w:ascii="Arial" w:eastAsia="Calibri" w:hAnsi="Arial" w:cs="Arial"/>
          <w:spacing w:val="-1"/>
          <w:sz w:val="17"/>
          <w:szCs w:val="17"/>
        </w:rPr>
        <w:tab/>
      </w:r>
      <w:r w:rsidRPr="00B96FE7">
        <w:rPr>
          <w:rFonts w:ascii="Arial" w:eastAsia="Calibri" w:hAnsi="Arial" w:cs="Arial"/>
          <w:spacing w:val="-1"/>
          <w:sz w:val="17"/>
          <w:szCs w:val="17"/>
        </w:rPr>
        <w:t xml:space="preserve">Actualmente, la UTEQ cuenta con 1 plantel en el cual existen catorce carreras a nivel técnico superior universitarios </w:t>
      </w:r>
      <w:r w:rsidR="009C5039" w:rsidRPr="00B96FE7">
        <w:rPr>
          <w:rFonts w:ascii="Arial" w:eastAsia="Calibri" w:hAnsi="Arial" w:cs="Arial"/>
          <w:spacing w:val="-1"/>
          <w:sz w:val="17"/>
          <w:szCs w:val="17"/>
        </w:rPr>
        <w:t>e ingenierías</w:t>
      </w:r>
      <w:r w:rsidRPr="00B96FE7">
        <w:rPr>
          <w:rFonts w:ascii="Arial" w:eastAsia="Calibri" w:hAnsi="Arial" w:cs="Arial"/>
          <w:spacing w:val="-1"/>
          <w:sz w:val="17"/>
          <w:szCs w:val="17"/>
        </w:rPr>
        <w:t xml:space="preserve"> a nivel licenciatura.    </w:t>
      </w:r>
    </w:p>
    <w:p w:rsidR="00961E98" w:rsidRPr="00961E98" w:rsidRDefault="00961E98" w:rsidP="00961E98">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 actividad.</w:t>
      </w:r>
    </w:p>
    <w:p w:rsidR="00961E98" w:rsidRPr="00961E98" w:rsidRDefault="00961E98" w:rsidP="00961E98">
      <w:pPr>
        <w:spacing w:before="120" w:after="120" w:line="240" w:lineRule="exact"/>
        <w:ind w:left="1069"/>
        <w:jc w:val="both"/>
        <w:rPr>
          <w:rFonts w:ascii="Arial" w:eastAsia="Calibri" w:hAnsi="Arial" w:cs="Arial"/>
          <w:spacing w:val="-1"/>
          <w:sz w:val="17"/>
          <w:szCs w:val="17"/>
        </w:rPr>
      </w:pPr>
      <w:r>
        <w:rPr>
          <w:rFonts w:ascii="Arial" w:eastAsia="Calibri" w:hAnsi="Arial" w:cs="Arial"/>
          <w:spacing w:val="-1"/>
          <w:sz w:val="17"/>
          <w:szCs w:val="17"/>
        </w:rPr>
        <w:t>Formar Técnicos Superiores Universitarios e Ingenieros que hayan egresado del bachillerato, aptos para la aplicación de conocimientos y la solución creativa de problemas con sentido de innovación y la incorporación de los avances científicos y tecnológicos.</w:t>
      </w:r>
    </w:p>
    <w:p w:rsidR="00961E98" w:rsidRPr="00961E98" w:rsidRDefault="00A67440" w:rsidP="00961E98">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Ejercicio fiscal</w:t>
      </w:r>
      <w:r w:rsidR="00961E98" w:rsidRPr="00961E98">
        <w:rPr>
          <w:rFonts w:ascii="Arial" w:eastAsia="Calibri" w:hAnsi="Arial" w:cs="Arial"/>
          <w:spacing w:val="-1"/>
          <w:sz w:val="17"/>
          <w:szCs w:val="17"/>
        </w:rPr>
        <w:t>: 01 de</w:t>
      </w:r>
      <w:r w:rsidR="00961E98">
        <w:rPr>
          <w:rFonts w:ascii="Arial" w:eastAsia="Calibri" w:hAnsi="Arial" w:cs="Arial"/>
          <w:spacing w:val="-1"/>
          <w:sz w:val="17"/>
          <w:szCs w:val="17"/>
        </w:rPr>
        <w:t xml:space="preserve"> enero de 2017, al 31 de diciembre de 2017</w:t>
      </w:r>
      <w:r w:rsidR="00961E98" w:rsidRPr="00961E98">
        <w:rPr>
          <w:rFonts w:ascii="Arial" w:eastAsia="Calibri" w:hAnsi="Arial" w:cs="Arial"/>
          <w:spacing w:val="-1"/>
          <w:sz w:val="17"/>
          <w:szCs w:val="17"/>
        </w:rPr>
        <w:t>.</w:t>
      </w:r>
    </w:p>
    <w:p w:rsidR="00A67440" w:rsidRPr="00961E98" w:rsidRDefault="00A67440" w:rsidP="00961E98">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Régimen jurídico.</w:t>
      </w:r>
      <w:r w:rsidR="00961E98">
        <w:rPr>
          <w:rFonts w:ascii="Arial" w:eastAsia="Calibri" w:hAnsi="Arial" w:cs="Arial"/>
          <w:spacing w:val="-1"/>
          <w:sz w:val="17"/>
          <w:szCs w:val="17"/>
        </w:rPr>
        <w:t xml:space="preserve"> La Institución es un Organismo </w:t>
      </w:r>
      <w:r w:rsidR="009C5039">
        <w:rPr>
          <w:rFonts w:ascii="Arial" w:eastAsia="Calibri" w:hAnsi="Arial" w:cs="Arial"/>
          <w:spacing w:val="-1"/>
          <w:sz w:val="17"/>
          <w:szCs w:val="17"/>
        </w:rPr>
        <w:t>Público</w:t>
      </w:r>
      <w:r w:rsidR="00961E98">
        <w:rPr>
          <w:rFonts w:ascii="Arial" w:eastAsia="Calibri" w:hAnsi="Arial" w:cs="Arial"/>
          <w:spacing w:val="-1"/>
          <w:sz w:val="17"/>
          <w:szCs w:val="17"/>
        </w:rPr>
        <w:t xml:space="preserve"> Descentralizado de Gobierno del Estado de Querétaro, con personalidad jurídica propia así como su patrimonio.</w:t>
      </w:r>
    </w:p>
    <w:p w:rsidR="00A67440" w:rsidRPr="00B2530E" w:rsidRDefault="00A67440" w:rsidP="00B2530E">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Consideraciones fiscales del ente: revelar el tipo de contribuciones que esté obligado a pagar o retener.</w:t>
      </w:r>
      <w:r w:rsidR="00B2530E">
        <w:rPr>
          <w:rFonts w:ascii="Arial" w:eastAsia="Calibri" w:hAnsi="Arial" w:cs="Arial"/>
          <w:spacing w:val="-1"/>
          <w:sz w:val="17"/>
          <w:szCs w:val="17"/>
        </w:rPr>
        <w:t xml:space="preserve"> La Institución tributa bajo el </w:t>
      </w:r>
      <w:r w:rsidR="009C5039">
        <w:rPr>
          <w:rFonts w:ascii="Arial" w:eastAsia="Calibri" w:hAnsi="Arial" w:cs="Arial"/>
          <w:spacing w:val="-1"/>
          <w:sz w:val="17"/>
          <w:szCs w:val="17"/>
        </w:rPr>
        <w:t>Título</w:t>
      </w:r>
      <w:r w:rsidR="00B2530E">
        <w:rPr>
          <w:rFonts w:ascii="Arial" w:eastAsia="Calibri" w:hAnsi="Arial" w:cs="Arial"/>
          <w:spacing w:val="-1"/>
          <w:sz w:val="17"/>
          <w:szCs w:val="17"/>
        </w:rPr>
        <w:t xml:space="preserve"> III del régimen fiscal de Personas Morales con fines no lucrativos (</w:t>
      </w:r>
      <w:r w:rsidR="00485576">
        <w:rPr>
          <w:rFonts w:ascii="Arial" w:eastAsia="Calibri" w:hAnsi="Arial" w:cs="Arial"/>
          <w:spacing w:val="-1"/>
          <w:sz w:val="17"/>
          <w:szCs w:val="17"/>
        </w:rPr>
        <w:t xml:space="preserve"> </w:t>
      </w:r>
      <w:r w:rsidR="00B2530E">
        <w:rPr>
          <w:rFonts w:ascii="Arial" w:eastAsia="Calibri" w:hAnsi="Arial" w:cs="Arial"/>
          <w:spacing w:val="-1"/>
          <w:sz w:val="17"/>
          <w:szCs w:val="17"/>
        </w:rPr>
        <w:t xml:space="preserve"> NO CONTRIBUYENTES) de la Ley del Impuesto Sobre la Renta.</w:t>
      </w:r>
      <w:r w:rsidR="00B2530E" w:rsidRPr="000526D5">
        <w:rPr>
          <w:rFonts w:ascii="Arial" w:eastAsia="Calibri" w:hAnsi="Arial" w:cs="Arial"/>
          <w:spacing w:val="-1"/>
          <w:sz w:val="17"/>
          <w:szCs w:val="17"/>
        </w:rPr>
        <w:t xml:space="preserve"> </w:t>
      </w:r>
    </w:p>
    <w:p w:rsidR="00B2530E" w:rsidRPr="00A67440" w:rsidRDefault="00A67440" w:rsidP="00B2530E">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Fideicomisos, mandatos y análogos de los cuales es fideicomitente o fideicomisario.</w:t>
      </w:r>
      <w:r w:rsidR="00B2530E">
        <w:rPr>
          <w:rFonts w:ascii="Arial" w:eastAsia="Calibri" w:hAnsi="Arial" w:cs="Arial"/>
          <w:spacing w:val="-1"/>
          <w:sz w:val="17"/>
          <w:szCs w:val="17"/>
        </w:rPr>
        <w:t xml:space="preserve"> ( No aplica para la institución )</w:t>
      </w:r>
    </w:p>
    <w:p w:rsidR="00A67440" w:rsidRDefault="00A67440" w:rsidP="00A67440">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B2530E" w:rsidRDefault="00B2530E" w:rsidP="00B2530E">
      <w:pPr>
        <w:pStyle w:val="Prrafodelista"/>
        <w:numPr>
          <w:ilvl w:val="1"/>
          <w:numId w:val="37"/>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La Universidad ha observado la normatividad emitida por el </w:t>
      </w:r>
      <w:r w:rsidRPr="00B2530E">
        <w:rPr>
          <w:rFonts w:eastAsia="Calibri"/>
          <w:sz w:val="22"/>
        </w:rPr>
        <w:t>CONAC</w:t>
      </w:r>
      <w:r>
        <w:rPr>
          <w:rFonts w:ascii="Arial" w:eastAsia="Calibri" w:hAnsi="Arial" w:cs="Arial"/>
          <w:spacing w:val="-1"/>
          <w:sz w:val="17"/>
          <w:szCs w:val="17"/>
        </w:rPr>
        <w:t xml:space="preserve"> y las disposiciones legales aplicables.</w:t>
      </w:r>
    </w:p>
    <w:p w:rsidR="00B2530E" w:rsidRPr="00D75F75" w:rsidRDefault="00B2530E" w:rsidP="00B2530E">
      <w:pPr>
        <w:spacing w:before="120" w:after="120" w:line="240" w:lineRule="exact"/>
        <w:ind w:left="1418"/>
        <w:jc w:val="both"/>
        <w:rPr>
          <w:rFonts w:ascii="Arial" w:eastAsia="Calibri" w:hAnsi="Arial" w:cs="Arial"/>
          <w:spacing w:val="-1"/>
          <w:sz w:val="17"/>
          <w:szCs w:val="17"/>
        </w:rPr>
      </w:pPr>
      <w:r>
        <w:rPr>
          <w:rFonts w:ascii="Arial" w:eastAsia="Calibri" w:hAnsi="Arial" w:cs="Arial"/>
          <w:spacing w:val="-1"/>
          <w:sz w:val="17"/>
          <w:szCs w:val="17"/>
        </w:rPr>
        <w:t>Asimismo los estados financieros adjuntos de la Universidad Tecnológica de Querétaro se prepararon de conformidad con las disposiciones normativas que le son aplicables en su carácter de Entidad Paraestatal del Gobierno del Estado de Querétaro y que están incluidas en la Ley General de Contabilidad Gubernamental y en los Postulados Básicos de Contabilidad Gubernamental.</w:t>
      </w:r>
    </w:p>
    <w:p w:rsidR="00B2530E" w:rsidRPr="00622DEA" w:rsidRDefault="00B2530E" w:rsidP="00B2530E">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La</w:t>
      </w:r>
      <w:r>
        <w:rPr>
          <w:rFonts w:ascii="Arial" w:eastAsia="Calibri" w:hAnsi="Arial" w:cs="Arial"/>
          <w:spacing w:val="-1"/>
          <w:sz w:val="17"/>
          <w:szCs w:val="17"/>
        </w:rPr>
        <w:t xml:space="preserve"> Institución ha aplicado la</w:t>
      </w:r>
      <w:r w:rsidRPr="00A67440">
        <w:rPr>
          <w:rFonts w:ascii="Arial" w:eastAsia="Calibri" w:hAnsi="Arial" w:cs="Arial"/>
          <w:spacing w:val="-1"/>
          <w:sz w:val="17"/>
          <w:szCs w:val="17"/>
        </w:rPr>
        <w:t xml:space="preserve"> normatividad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Pr>
          <w:rFonts w:ascii="Arial" w:eastAsia="Calibri" w:hAnsi="Arial" w:cs="Arial"/>
          <w:spacing w:val="-1"/>
          <w:sz w:val="17"/>
          <w:szCs w:val="17"/>
        </w:rPr>
        <w:t xml:space="preserve"> De conformidad a lo siguiente:</w:t>
      </w:r>
    </w:p>
    <w:p w:rsidR="00B2530E" w:rsidRPr="00174E43" w:rsidRDefault="00B2530E" w:rsidP="00B2530E">
      <w:pPr>
        <w:pStyle w:val="Prrafodelista"/>
        <w:numPr>
          <w:ilvl w:val="0"/>
          <w:numId w:val="46"/>
        </w:numPr>
        <w:shd w:val="clear" w:color="auto" w:fill="FFFFFF"/>
        <w:spacing w:before="100" w:beforeAutospacing="1" w:after="100" w:afterAutospacing="1" w:line="300" w:lineRule="atLeast"/>
        <w:rPr>
          <w:rFonts w:ascii="Arial" w:eastAsia="Calibri" w:hAnsi="Arial" w:cs="Arial"/>
          <w:spacing w:val="-1"/>
          <w:sz w:val="17"/>
          <w:szCs w:val="17"/>
        </w:rPr>
      </w:pPr>
      <w:r w:rsidRPr="00174E43">
        <w:rPr>
          <w:rFonts w:ascii="Arial" w:eastAsia="Calibri" w:hAnsi="Arial" w:cs="Arial"/>
          <w:spacing w:val="-1"/>
          <w:sz w:val="17"/>
          <w:szCs w:val="17"/>
        </w:rPr>
        <w:t xml:space="preserve">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 </w:t>
      </w:r>
    </w:p>
    <w:p w:rsidR="00B2530E" w:rsidRPr="00174E43" w:rsidRDefault="00B2530E" w:rsidP="00B83731">
      <w:pPr>
        <w:pStyle w:val="Prrafodelista"/>
        <w:numPr>
          <w:ilvl w:val="0"/>
          <w:numId w:val="47"/>
        </w:numPr>
        <w:shd w:val="clear" w:color="auto" w:fill="FFFFFF"/>
        <w:spacing w:before="100" w:beforeAutospacing="1" w:after="100" w:afterAutospacing="1" w:line="300" w:lineRule="atLeast"/>
        <w:jc w:val="both"/>
        <w:rPr>
          <w:rFonts w:ascii="Arial" w:eastAsia="Calibri" w:hAnsi="Arial" w:cs="Arial"/>
          <w:spacing w:val="-1"/>
          <w:sz w:val="17"/>
          <w:szCs w:val="17"/>
        </w:rPr>
      </w:pPr>
      <w:r w:rsidRPr="00174E43">
        <w:rPr>
          <w:rFonts w:ascii="Arial" w:eastAsia="Calibri" w:hAnsi="Arial" w:cs="Arial"/>
          <w:spacing w:val="-1"/>
          <w:sz w:val="17"/>
          <w:szCs w:val="17"/>
        </w:rPr>
        <w:t xml:space="preserve">La Ley tiene como objeto establecer los criterios generales que regirán la contabilidad gubernamental y la emisión de la información financiera de los entes públicos, con la finalidad de lograr la armonización contable a nivel nacional, para lo cual fue creado el Consejo Nacional de Armonización Contable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 </w:t>
      </w:r>
    </w:p>
    <w:p w:rsidR="00B2530E" w:rsidRPr="00622DEA" w:rsidRDefault="00B2530E" w:rsidP="00B83731">
      <w:pPr>
        <w:pStyle w:val="Prrafodelista"/>
        <w:numPr>
          <w:ilvl w:val="0"/>
          <w:numId w:val="48"/>
        </w:numPr>
        <w:shd w:val="clear" w:color="auto" w:fill="FFFFFF"/>
        <w:spacing w:before="100" w:beforeAutospacing="1" w:after="100" w:afterAutospacing="1" w:line="300" w:lineRule="atLeast"/>
        <w:jc w:val="both"/>
        <w:rPr>
          <w:rFonts w:ascii="Arial" w:eastAsia="Calibri" w:hAnsi="Arial" w:cs="Arial"/>
          <w:spacing w:val="-1"/>
          <w:sz w:val="17"/>
          <w:szCs w:val="17"/>
        </w:rPr>
      </w:pPr>
      <w:r w:rsidRPr="00174E43">
        <w:rPr>
          <w:rFonts w:ascii="Arial" w:eastAsia="Calibri" w:hAnsi="Arial" w:cs="Arial"/>
          <w:spacing w:val="-1"/>
          <w:sz w:val="17"/>
          <w:szCs w:val="17"/>
        </w:rPr>
        <w:t xml:space="preserve">En 2009, 2010 y 2011, el CONAC emitió diversas disposiciones regulatorias en materia de contabilidad gubernamental y de presupuestos, en las cuales se establecieron diversas fechas para el inicio de su aplicación efectiva. </w:t>
      </w:r>
    </w:p>
    <w:p w:rsidR="00B2530E" w:rsidRDefault="00B2530E" w:rsidP="00B83731">
      <w:pPr>
        <w:pStyle w:val="Prrafodelista"/>
        <w:numPr>
          <w:ilvl w:val="0"/>
          <w:numId w:val="48"/>
        </w:numPr>
        <w:shd w:val="clear" w:color="auto" w:fill="FFFFFF"/>
        <w:spacing w:before="100" w:beforeAutospacing="1" w:after="100" w:afterAutospacing="1" w:line="300" w:lineRule="atLeast"/>
        <w:jc w:val="both"/>
        <w:rPr>
          <w:rFonts w:ascii="Arial" w:eastAsia="Calibri" w:hAnsi="Arial" w:cs="Arial"/>
          <w:spacing w:val="-1"/>
          <w:sz w:val="17"/>
          <w:szCs w:val="17"/>
        </w:rPr>
      </w:pPr>
      <w:r w:rsidRPr="00B20EEE">
        <w:rPr>
          <w:rFonts w:ascii="Arial" w:eastAsia="Calibri" w:hAnsi="Arial" w:cs="Arial"/>
          <w:spacing w:val="-1"/>
          <w:sz w:val="17"/>
          <w:szCs w:val="17"/>
        </w:rPr>
        <w:t xml:space="preserve">Con la finalidad de dar cumplimiento al objetivo de la armonización contable y establecer los ejercicios sociales en que tendrá aplicación efectiva el conjunto de normas aplicables, el 15 de diciembre de 2010 el CONAC emitió el Acuerdo de Interpretación sobre las obligaciones establecidas en los artículos transitorios de la LGCG, en el cual interpretó que las entidades federativas, las entidades y los órganos Autónomos de las entidades federativas, entre otros, tienen la obligación, a partir del 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las características señaladas en los artículos 40 y 41 de la LGCG. Consecuentemente, a partir de la fecha señalada tienen la obligación de emitir información contable, presupuestaria y programática sobre la base técnica prevista en los documentos técnico-contables siguientes: </w:t>
      </w:r>
    </w:p>
    <w:p w:rsidR="00B2530E" w:rsidRPr="00B83731" w:rsidRDefault="00B2530E" w:rsidP="00B2530E">
      <w:pPr>
        <w:pStyle w:val="Prrafodelista"/>
        <w:numPr>
          <w:ilvl w:val="0"/>
          <w:numId w:val="48"/>
        </w:numPr>
        <w:autoSpaceDE w:val="0"/>
        <w:autoSpaceDN w:val="0"/>
        <w:adjustRightInd w:val="0"/>
        <w:jc w:val="both"/>
        <w:rPr>
          <w:rFonts w:ascii="Arial" w:eastAsia="Calibri" w:hAnsi="Arial" w:cs="Arial"/>
          <w:spacing w:val="-1"/>
          <w:sz w:val="17"/>
          <w:szCs w:val="17"/>
        </w:rPr>
      </w:pPr>
      <w:r w:rsidRPr="00B83731">
        <w:rPr>
          <w:rFonts w:ascii="Arial" w:eastAsia="Calibri" w:hAnsi="Arial" w:cs="Arial"/>
          <w:spacing w:val="-1"/>
          <w:sz w:val="17"/>
          <w:szCs w:val="17"/>
        </w:rPr>
        <w:t xml:space="preserve">Marco Conceptual </w:t>
      </w:r>
    </w:p>
    <w:p w:rsidR="00B2530E" w:rsidRPr="00B83731" w:rsidRDefault="00B2530E" w:rsidP="00B2530E">
      <w:pPr>
        <w:pStyle w:val="Prrafodelista"/>
        <w:autoSpaceDE w:val="0"/>
        <w:autoSpaceDN w:val="0"/>
        <w:adjustRightInd w:val="0"/>
        <w:jc w:val="both"/>
        <w:rPr>
          <w:rFonts w:ascii="Arial" w:eastAsia="Calibri" w:hAnsi="Arial" w:cs="Arial"/>
          <w:spacing w:val="-1"/>
          <w:sz w:val="17"/>
          <w:szCs w:val="17"/>
        </w:rPr>
      </w:pPr>
    </w:p>
    <w:p w:rsidR="00B2530E" w:rsidRPr="00B83731" w:rsidRDefault="00B2530E" w:rsidP="00B2530E">
      <w:pPr>
        <w:pStyle w:val="Prrafodelista"/>
        <w:numPr>
          <w:ilvl w:val="0"/>
          <w:numId w:val="48"/>
        </w:numPr>
        <w:autoSpaceDE w:val="0"/>
        <w:autoSpaceDN w:val="0"/>
        <w:adjustRightInd w:val="0"/>
        <w:jc w:val="both"/>
        <w:rPr>
          <w:rFonts w:ascii="Arial" w:eastAsia="Calibri" w:hAnsi="Arial" w:cs="Arial"/>
          <w:spacing w:val="-1"/>
          <w:sz w:val="17"/>
          <w:szCs w:val="17"/>
        </w:rPr>
      </w:pPr>
      <w:r w:rsidRPr="00B83731">
        <w:rPr>
          <w:rFonts w:ascii="Arial" w:eastAsia="Calibri" w:hAnsi="Arial" w:cs="Arial"/>
          <w:spacing w:val="-1"/>
          <w:sz w:val="17"/>
          <w:szCs w:val="17"/>
        </w:rPr>
        <w:t>La Institución aplica los Postulados Básicos de Contabilidad Gubernamental conforme a lo siguiente:</w:t>
      </w:r>
    </w:p>
    <w:p w:rsidR="00B2530E" w:rsidRPr="00B83731" w:rsidRDefault="00B2530E" w:rsidP="00B2530E">
      <w:pPr>
        <w:pStyle w:val="Prrafodelista"/>
        <w:rPr>
          <w:rFonts w:ascii="Arial" w:eastAsia="Calibri" w:hAnsi="Arial" w:cs="Arial"/>
          <w:spacing w:val="-1"/>
          <w:sz w:val="17"/>
          <w:szCs w:val="17"/>
        </w:rPr>
      </w:pPr>
    </w:p>
    <w:p w:rsidR="00B2530E" w:rsidRPr="00846872" w:rsidRDefault="00B2530E" w:rsidP="00B2530E">
      <w:pPr>
        <w:pStyle w:val="Prrafodelista"/>
        <w:numPr>
          <w:ilvl w:val="0"/>
          <w:numId w:val="49"/>
        </w:numPr>
        <w:jc w:val="both"/>
        <w:rPr>
          <w:rFonts w:ascii="Arial" w:eastAsia="Calibri" w:hAnsi="Arial" w:cs="Arial"/>
          <w:spacing w:val="-1"/>
          <w:sz w:val="17"/>
          <w:szCs w:val="17"/>
        </w:rPr>
      </w:pPr>
      <w:r w:rsidRPr="00846872">
        <w:rPr>
          <w:rFonts w:ascii="Arial" w:eastAsia="Calibri" w:hAnsi="Arial" w:cs="Arial"/>
          <w:spacing w:val="-1"/>
          <w:sz w:val="17"/>
          <w:szCs w:val="17"/>
        </w:rPr>
        <w:t xml:space="preserve">Los Principios de la Contabilidad Gubernamental son los fundamentos que configuran el sistema de información contable y rigen el ambiente bajo el cual opera. Estos inciden en la identificación, análisis, interpretación, captación, procesamiento y reconocimiento de las transacciones, transformaciones internas y de otros eventos económicos que se llevan a cabo en la Universidad </w:t>
      </w:r>
      <w:r w:rsidR="009C5039" w:rsidRPr="00846872">
        <w:rPr>
          <w:rFonts w:ascii="Arial" w:eastAsia="Calibri" w:hAnsi="Arial" w:cs="Arial"/>
          <w:spacing w:val="-1"/>
          <w:sz w:val="17"/>
          <w:szCs w:val="17"/>
        </w:rPr>
        <w:t>Tecnológica de</w:t>
      </w:r>
      <w:r w:rsidRPr="00846872">
        <w:rPr>
          <w:rFonts w:ascii="Arial" w:eastAsia="Calibri" w:hAnsi="Arial" w:cs="Arial"/>
          <w:spacing w:val="-1"/>
          <w:sz w:val="17"/>
          <w:szCs w:val="17"/>
        </w:rPr>
        <w:t xml:space="preserve"> Querétaro.</w:t>
      </w:r>
    </w:p>
    <w:p w:rsidR="00B2530E" w:rsidRPr="006F12D3" w:rsidRDefault="00B2530E" w:rsidP="00B2530E">
      <w:pPr>
        <w:ind w:left="360"/>
        <w:jc w:val="both"/>
        <w:rPr>
          <w:rFonts w:ascii="Arial" w:eastAsia="Calibri" w:hAnsi="Arial" w:cs="Arial"/>
          <w:spacing w:val="-1"/>
          <w:sz w:val="17"/>
          <w:szCs w:val="17"/>
        </w:rPr>
      </w:pPr>
    </w:p>
    <w:p w:rsidR="00B2530E" w:rsidRPr="006F12D3" w:rsidRDefault="00B2530E" w:rsidP="00B2530E">
      <w:pPr>
        <w:spacing w:after="60"/>
        <w:ind w:left="360"/>
        <w:jc w:val="both"/>
        <w:rPr>
          <w:rFonts w:ascii="Arial" w:eastAsia="Calibri" w:hAnsi="Arial" w:cs="Arial"/>
          <w:spacing w:val="-1"/>
          <w:sz w:val="17"/>
          <w:szCs w:val="17"/>
        </w:rPr>
      </w:pPr>
      <w:r>
        <w:rPr>
          <w:rFonts w:ascii="Arial" w:eastAsia="Calibri" w:hAnsi="Arial" w:cs="Arial"/>
          <w:spacing w:val="-1"/>
          <w:sz w:val="17"/>
          <w:szCs w:val="17"/>
        </w:rPr>
        <w:t>2</w:t>
      </w:r>
      <w:r w:rsidRPr="006F12D3">
        <w:rPr>
          <w:rFonts w:ascii="Arial" w:eastAsia="Calibri" w:hAnsi="Arial" w:cs="Arial"/>
          <w:spacing w:val="-1"/>
          <w:sz w:val="17"/>
          <w:szCs w:val="17"/>
        </w:rPr>
        <w:tab/>
        <w:t>De conformidad con el Artículo 22 de la Ley, “los postulados tienen como objetivo sustentar técnicamente la contabilidad gubernamental, así como organizar la efectiva sistematización que permita la obtención de información veraz, clara y concisa.”</w:t>
      </w:r>
    </w:p>
    <w:p w:rsidR="00B2530E" w:rsidRPr="006F12D3" w:rsidRDefault="00B2530E" w:rsidP="00B2530E">
      <w:pPr>
        <w:spacing w:after="60"/>
        <w:ind w:left="360"/>
        <w:jc w:val="both"/>
        <w:rPr>
          <w:rFonts w:ascii="Arial" w:eastAsia="Calibri" w:hAnsi="Arial" w:cs="Arial"/>
          <w:spacing w:val="-1"/>
          <w:sz w:val="17"/>
          <w:szCs w:val="17"/>
        </w:rPr>
      </w:pPr>
    </w:p>
    <w:p w:rsidR="00B2530E" w:rsidRPr="00B2530E" w:rsidRDefault="00B2530E" w:rsidP="00B2530E">
      <w:pPr>
        <w:pStyle w:val="Prrafodelista"/>
        <w:numPr>
          <w:ilvl w:val="0"/>
          <w:numId w:val="48"/>
        </w:numPr>
        <w:autoSpaceDE w:val="0"/>
        <w:autoSpaceDN w:val="0"/>
        <w:adjustRightInd w:val="0"/>
        <w:jc w:val="both"/>
        <w:rPr>
          <w:rFonts w:ascii="Arial" w:eastAsia="Calibri" w:hAnsi="Arial" w:cs="Arial"/>
          <w:b/>
          <w:spacing w:val="-1"/>
          <w:sz w:val="17"/>
          <w:szCs w:val="17"/>
        </w:rPr>
      </w:pPr>
      <w:r>
        <w:rPr>
          <w:rFonts w:ascii="Arial" w:eastAsia="Calibri" w:hAnsi="Arial" w:cs="Arial"/>
          <w:spacing w:val="-1"/>
          <w:sz w:val="17"/>
          <w:szCs w:val="17"/>
        </w:rPr>
        <w:t xml:space="preserve">3 </w:t>
      </w:r>
      <w:r w:rsidRPr="006F12D3">
        <w:rPr>
          <w:rFonts w:ascii="Arial" w:eastAsia="Calibri" w:hAnsi="Arial" w:cs="Arial"/>
          <w:spacing w:val="-1"/>
          <w:sz w:val="17"/>
          <w:szCs w:val="17"/>
        </w:rPr>
        <w:t>Cabe destacar que con fecha 20 de agosto de 2009, fue publicado el acuerdo por el CONAC emiten los Postulados Básicos de Contabilidad Gubernamental, disponiendo que deben ser aplicados por los entes públicos.</w:t>
      </w:r>
    </w:p>
    <w:p w:rsidR="00B2530E" w:rsidRDefault="00B2530E" w:rsidP="00B2530E">
      <w:pPr>
        <w:spacing w:after="60"/>
        <w:ind w:left="360"/>
        <w:jc w:val="both"/>
        <w:rPr>
          <w:rFonts w:ascii="Arial" w:eastAsia="Calibri" w:hAnsi="Arial" w:cs="Arial"/>
          <w:spacing w:val="-1"/>
          <w:sz w:val="17"/>
          <w:szCs w:val="17"/>
        </w:rPr>
      </w:pPr>
    </w:p>
    <w:p w:rsidR="00B2530E" w:rsidRPr="006F12D3" w:rsidRDefault="00B2530E" w:rsidP="00B2530E">
      <w:pPr>
        <w:spacing w:after="60"/>
        <w:ind w:left="360"/>
        <w:jc w:val="both"/>
        <w:rPr>
          <w:rFonts w:ascii="Arial" w:eastAsia="Calibri" w:hAnsi="Arial" w:cs="Arial"/>
          <w:spacing w:val="-1"/>
          <w:sz w:val="17"/>
          <w:szCs w:val="17"/>
        </w:rPr>
      </w:pPr>
      <w:r>
        <w:rPr>
          <w:rFonts w:ascii="Arial" w:eastAsia="Calibri" w:hAnsi="Arial" w:cs="Arial"/>
          <w:spacing w:val="-1"/>
          <w:sz w:val="17"/>
          <w:szCs w:val="17"/>
        </w:rPr>
        <w:t xml:space="preserve">4     </w:t>
      </w:r>
      <w:r w:rsidRPr="006F12D3">
        <w:rPr>
          <w:rFonts w:ascii="Arial" w:eastAsia="Calibri" w:hAnsi="Arial" w:cs="Arial"/>
          <w:spacing w:val="-1"/>
          <w:sz w:val="17"/>
          <w:szCs w:val="17"/>
        </w:rPr>
        <w:t>A continuación se describe el contenido principal de los Postulados Básicos de Contabilidad Gubernamental, aprobados por el CONAC:</w:t>
      </w:r>
    </w:p>
    <w:p w:rsidR="00B2530E" w:rsidRPr="006F12D3" w:rsidRDefault="00B2530E" w:rsidP="00B2530E">
      <w:pPr>
        <w:spacing w:after="60"/>
        <w:ind w:left="360"/>
        <w:jc w:val="both"/>
        <w:rPr>
          <w:rFonts w:ascii="Arial" w:eastAsia="Calibri" w:hAnsi="Arial" w:cs="Arial"/>
          <w:spacing w:val="-1"/>
          <w:sz w:val="17"/>
          <w:szCs w:val="17"/>
        </w:rPr>
      </w:pPr>
    </w:p>
    <w:tbl>
      <w:tblPr>
        <w:tblW w:w="13008" w:type="dxa"/>
        <w:tblInd w:w="392" w:type="dxa"/>
        <w:tblBorders>
          <w:top w:val="single" w:sz="8" w:space="0" w:color="94B6D2"/>
          <w:bottom w:val="single" w:sz="8" w:space="0" w:color="94B6D2"/>
        </w:tblBorders>
        <w:tblLook w:val="00A0" w:firstRow="1" w:lastRow="0" w:firstColumn="1" w:lastColumn="0" w:noHBand="0" w:noVBand="0"/>
      </w:tblPr>
      <w:tblGrid>
        <w:gridCol w:w="1832"/>
        <w:gridCol w:w="1578"/>
        <w:gridCol w:w="9598"/>
      </w:tblGrid>
      <w:tr w:rsidR="00B2530E" w:rsidRPr="00846872" w:rsidTr="00B83731">
        <w:trPr>
          <w:trHeight w:val="140"/>
        </w:trPr>
        <w:tc>
          <w:tcPr>
            <w:tcW w:w="1832" w:type="dxa"/>
            <w:tcBorders>
              <w:top w:val="single" w:sz="8" w:space="0" w:color="94B6D2"/>
            </w:tcBorders>
          </w:tcPr>
          <w:p w:rsidR="00B2530E" w:rsidRPr="00846872" w:rsidRDefault="00B2530E" w:rsidP="00B2530E">
            <w:pPr>
              <w:rPr>
                <w:rFonts w:ascii="Arial" w:eastAsia="Calibri" w:hAnsi="Arial" w:cs="Arial"/>
                <w:spacing w:val="-1"/>
                <w:sz w:val="17"/>
                <w:szCs w:val="17"/>
              </w:rPr>
            </w:pPr>
            <w:r w:rsidRPr="00846872">
              <w:rPr>
                <w:rFonts w:ascii="Arial" w:eastAsia="Calibri" w:hAnsi="Arial" w:cs="Arial"/>
                <w:spacing w:val="-1"/>
                <w:sz w:val="17"/>
                <w:szCs w:val="17"/>
              </w:rPr>
              <w:lastRenderedPageBreak/>
              <w:t>REQUISITOS GENERALES DEL SISTEMA</w:t>
            </w:r>
          </w:p>
        </w:tc>
        <w:tc>
          <w:tcPr>
            <w:tcW w:w="1578" w:type="dxa"/>
            <w:tcBorders>
              <w:top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Importancia Relativa</w:t>
            </w:r>
          </w:p>
        </w:tc>
        <w:tc>
          <w:tcPr>
            <w:tcW w:w="9598" w:type="dxa"/>
            <w:tcBorders>
              <w:top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La información financiera debe revelar todas las partidas y mostrar los aspectos importantes de la entidad que son de suficiente importancia y reconocidos contablemente para efectuar las evaluaciones o tomar decisiones</w:t>
            </w:r>
          </w:p>
        </w:tc>
      </w:tr>
      <w:tr w:rsidR="00B2530E" w:rsidRPr="00846872" w:rsidTr="00B83731">
        <w:trPr>
          <w:trHeight w:val="492"/>
        </w:trPr>
        <w:tc>
          <w:tcPr>
            <w:tcW w:w="1832"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p>
        </w:tc>
        <w:tc>
          <w:tcPr>
            <w:tcW w:w="157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Consistencia</w:t>
            </w:r>
          </w:p>
        </w:tc>
        <w:tc>
          <w:tcPr>
            <w:tcW w:w="959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Las políticas, métodos de cuantificación y procedimientos contables deben ser los apropiados en un ente público para reflejar la situación económica, debiendo aplicarse con criterio uniforme, permanente y un mismo tratamiento contable, en tanto no cambie la esencia económica de las operaciones.</w:t>
            </w:r>
          </w:p>
        </w:tc>
      </w:tr>
      <w:tr w:rsidR="00B2530E" w:rsidRPr="00846872" w:rsidTr="00B83731">
        <w:trPr>
          <w:trHeight w:val="390"/>
        </w:trPr>
        <w:tc>
          <w:tcPr>
            <w:tcW w:w="1832"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p>
        </w:tc>
        <w:tc>
          <w:tcPr>
            <w:tcW w:w="157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Cumplimiento de disposiciones legales  (Sustancia Económica)</w:t>
            </w:r>
          </w:p>
        </w:tc>
        <w:tc>
          <w:tcPr>
            <w:tcW w:w="959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 xml:space="preserve">Es el reconocimiento contable de las transacciones, transformaciones internas y otros eventos, que afectan económicamente al ente público y delimitan la operación del Sistema de Contabilidad Gubernamental (SCG). </w:t>
            </w:r>
          </w:p>
        </w:tc>
      </w:tr>
      <w:tr w:rsidR="00B2530E" w:rsidRPr="00846872" w:rsidTr="00B83731">
        <w:trPr>
          <w:trHeight w:val="835"/>
        </w:trPr>
        <w:tc>
          <w:tcPr>
            <w:tcW w:w="1832" w:type="dxa"/>
            <w:tcBorders>
              <w:top w:val="single" w:sz="8" w:space="0" w:color="94B6D2"/>
              <w:bottom w:val="single" w:sz="8" w:space="0" w:color="94B6D2"/>
            </w:tcBorders>
          </w:tcPr>
          <w:p w:rsidR="00B2530E" w:rsidRPr="00846872" w:rsidRDefault="00B2530E" w:rsidP="00B2530E">
            <w:pPr>
              <w:rPr>
                <w:rFonts w:ascii="Arial" w:eastAsia="Calibri" w:hAnsi="Arial" w:cs="Arial"/>
                <w:spacing w:val="-1"/>
                <w:sz w:val="17"/>
                <w:szCs w:val="17"/>
              </w:rPr>
            </w:pPr>
            <w:r w:rsidRPr="00846872">
              <w:rPr>
                <w:rFonts w:ascii="Arial" w:eastAsia="Calibri" w:hAnsi="Arial" w:cs="Arial"/>
                <w:spacing w:val="-1"/>
                <w:sz w:val="17"/>
                <w:szCs w:val="17"/>
              </w:rPr>
              <w:t>BASES PARA CUANTIFICAR LAS OPERACIONES</w:t>
            </w:r>
          </w:p>
        </w:tc>
        <w:tc>
          <w:tcPr>
            <w:tcW w:w="157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Cuantificación en  términos monetarios (Valuación)</w:t>
            </w:r>
          </w:p>
        </w:tc>
        <w:tc>
          <w:tcPr>
            <w:tcW w:w="959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Los eventos que afecten económicamente se deben registrar a su costo de adquisición o histórico por el monto erogado para su adquisición conforme a la documentación contable original justificativa y comprobatoria, registrándose en moneda nacional en caso de que sean producto de una donación, expropiación, adjudicación o dación de pago, será por un valor estimado o avalúo.</w:t>
            </w:r>
          </w:p>
        </w:tc>
      </w:tr>
      <w:tr w:rsidR="00B2530E" w:rsidRPr="00846872" w:rsidTr="00B83731">
        <w:trPr>
          <w:trHeight w:val="241"/>
        </w:trPr>
        <w:tc>
          <w:tcPr>
            <w:tcW w:w="1832"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p>
        </w:tc>
        <w:tc>
          <w:tcPr>
            <w:tcW w:w="157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Existencia Permanente</w:t>
            </w:r>
          </w:p>
        </w:tc>
        <w:tc>
          <w:tcPr>
            <w:tcW w:w="959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El ente público o  económico tiene vida permanente o tiempo indefinido, salvo disposición legal,  modificación posterior por Ley o Decreto en el que se especifique lo contrario</w:t>
            </w:r>
          </w:p>
        </w:tc>
      </w:tr>
      <w:tr w:rsidR="00B2530E" w:rsidRPr="00846872" w:rsidTr="00B83731">
        <w:trPr>
          <w:trHeight w:val="271"/>
        </w:trPr>
        <w:tc>
          <w:tcPr>
            <w:tcW w:w="1832"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p>
        </w:tc>
        <w:tc>
          <w:tcPr>
            <w:tcW w:w="157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Base de Registro o Sustancia Económica</w:t>
            </w:r>
          </w:p>
        </w:tc>
        <w:tc>
          <w:tcPr>
            <w:tcW w:w="959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Los Gastos deben de ser reconocidos y registrados en el momento en que se devenguen y los Ingresos cuando se realicen.</w:t>
            </w:r>
          </w:p>
        </w:tc>
      </w:tr>
      <w:tr w:rsidR="00B2530E" w:rsidRPr="00846872" w:rsidTr="00B83731">
        <w:trPr>
          <w:trHeight w:val="386"/>
        </w:trPr>
        <w:tc>
          <w:tcPr>
            <w:tcW w:w="1832"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p>
        </w:tc>
        <w:tc>
          <w:tcPr>
            <w:tcW w:w="157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 xml:space="preserve">Control Presupuestario </w:t>
            </w:r>
          </w:p>
          <w:p w:rsidR="00B2530E" w:rsidRPr="00846872" w:rsidRDefault="00B2530E" w:rsidP="00D56B01">
            <w:pPr>
              <w:jc w:val="both"/>
              <w:rPr>
                <w:rFonts w:ascii="Arial" w:eastAsia="Calibri" w:hAnsi="Arial" w:cs="Arial"/>
                <w:spacing w:val="-1"/>
                <w:sz w:val="17"/>
                <w:szCs w:val="17"/>
              </w:rPr>
            </w:pPr>
            <w:r>
              <w:rPr>
                <w:rFonts w:ascii="Arial" w:eastAsia="Calibri" w:hAnsi="Arial" w:cs="Arial"/>
                <w:spacing w:val="-1"/>
                <w:sz w:val="17"/>
                <w:szCs w:val="17"/>
              </w:rPr>
              <w:t xml:space="preserve">(Registro </w:t>
            </w:r>
            <w:r w:rsidRPr="00846872">
              <w:rPr>
                <w:rFonts w:ascii="Arial" w:eastAsia="Calibri" w:hAnsi="Arial" w:cs="Arial"/>
                <w:spacing w:val="-1"/>
                <w:sz w:val="17"/>
                <w:szCs w:val="17"/>
              </w:rPr>
              <w:t>e Integración)</w:t>
            </w:r>
          </w:p>
        </w:tc>
        <w:tc>
          <w:tcPr>
            <w:tcW w:w="9598" w:type="dxa"/>
            <w:tcBorders>
              <w:top w:val="single" w:sz="8" w:space="0" w:color="94B6D2"/>
              <w:bottom w:val="single" w:sz="8" w:space="0" w:color="94B6D2"/>
            </w:tcBorders>
          </w:tcPr>
          <w:p w:rsidR="00B2530E" w:rsidRPr="00846872" w:rsidRDefault="00B2530E" w:rsidP="00B2530E">
            <w:pPr>
              <w:jc w:val="both"/>
              <w:rPr>
                <w:rFonts w:ascii="Arial" w:eastAsia="Calibri" w:hAnsi="Arial" w:cs="Arial"/>
                <w:spacing w:val="-1"/>
                <w:sz w:val="17"/>
                <w:szCs w:val="17"/>
              </w:rPr>
            </w:pPr>
            <w:r w:rsidRPr="00846872">
              <w:rPr>
                <w:rFonts w:ascii="Arial" w:eastAsia="Calibri" w:hAnsi="Arial" w:cs="Arial"/>
                <w:spacing w:val="-1"/>
                <w:sz w:val="17"/>
                <w:szCs w:val="17"/>
              </w:rPr>
              <w:t xml:space="preserve">Corresponde y se </w:t>
            </w:r>
            <w:r w:rsidR="009C5039" w:rsidRPr="00846872">
              <w:rPr>
                <w:rFonts w:ascii="Arial" w:eastAsia="Calibri" w:hAnsi="Arial" w:cs="Arial"/>
                <w:spacing w:val="-1"/>
                <w:sz w:val="17"/>
                <w:szCs w:val="17"/>
              </w:rPr>
              <w:t>integra al</w:t>
            </w:r>
            <w:r w:rsidRPr="00846872">
              <w:rPr>
                <w:rFonts w:ascii="Arial" w:eastAsia="Calibri" w:hAnsi="Arial" w:cs="Arial"/>
                <w:spacing w:val="-1"/>
                <w:sz w:val="17"/>
                <w:szCs w:val="17"/>
              </w:rPr>
              <w:t xml:space="preserve"> sistema contable el registro presupuestario de los ingresos y egresos comprendidos en el presupuesto en los mismos</w:t>
            </w:r>
            <w:r>
              <w:rPr>
                <w:rFonts w:ascii="Arial" w:eastAsia="Calibri" w:hAnsi="Arial" w:cs="Arial"/>
                <w:spacing w:val="-1"/>
                <w:sz w:val="17"/>
                <w:szCs w:val="17"/>
              </w:rPr>
              <w:t xml:space="preserve"> </w:t>
            </w:r>
            <w:r w:rsidRPr="00846872">
              <w:rPr>
                <w:rFonts w:ascii="Arial" w:eastAsia="Calibri" w:hAnsi="Arial" w:cs="Arial"/>
                <w:spacing w:val="-1"/>
                <w:sz w:val="17"/>
                <w:szCs w:val="17"/>
              </w:rPr>
              <w:t>términos que se presentan en la Ley de Ingresos y en el Decreto del Presupuesto de Egresos, de acuerdo a la naturaleza económica que le corresponda, así como su vinculación con el avance físico financiero de los proyectos programados, de los entes públicos, considerando sus efectos patrimoniales.</w:t>
            </w:r>
          </w:p>
        </w:tc>
      </w:tr>
      <w:tr w:rsidR="00B2530E" w:rsidRPr="00846872" w:rsidTr="00B83731">
        <w:trPr>
          <w:trHeight w:val="875"/>
        </w:trPr>
        <w:tc>
          <w:tcPr>
            <w:tcW w:w="1832" w:type="dxa"/>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IDENTIFICACIÓN Y DELIMITACIÓN</w:t>
            </w:r>
          </w:p>
        </w:tc>
        <w:tc>
          <w:tcPr>
            <w:tcW w:w="1578" w:type="dxa"/>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Entes Públicos</w:t>
            </w:r>
          </w:p>
        </w:tc>
        <w:tc>
          <w:tcPr>
            <w:tcW w:w="9598" w:type="dxa"/>
          </w:tcPr>
          <w:p w:rsidR="00B2530E" w:rsidRPr="00846872" w:rsidRDefault="00B2530E" w:rsidP="00B2530E">
            <w:pPr>
              <w:jc w:val="both"/>
              <w:rPr>
                <w:rFonts w:ascii="Arial" w:eastAsia="Calibri" w:hAnsi="Arial" w:cs="Arial"/>
                <w:spacing w:val="-1"/>
                <w:sz w:val="17"/>
                <w:szCs w:val="17"/>
              </w:rPr>
            </w:pPr>
            <w:r w:rsidRPr="00846872">
              <w:rPr>
                <w:rFonts w:ascii="Arial" w:eastAsia="Calibri" w:hAnsi="Arial" w:cs="Arial"/>
                <w:spacing w:val="-1"/>
                <w:sz w:val="17"/>
                <w:szCs w:val="17"/>
              </w:rPr>
              <w:t>Se considera ente público, los poderes Ejecutivos, Legislativo y Judicial de la Federación y de la Entidades Federativas, los Autónomos  de la Federación y de las Entidades Federativas; los ayuntamientos de los Municipios, los órganos políticos – administrativo de las demarcaciones territoriales del Distrito Federal; y las Entidades de la administración pública paraestatal toda Dependencia Gubernamental con existencia propia e independiente que ha sido creada por Ley o Decreto</w:t>
            </w:r>
          </w:p>
        </w:tc>
      </w:tr>
      <w:tr w:rsidR="00B2530E" w:rsidRPr="00846872" w:rsidTr="00B83731">
        <w:trPr>
          <w:trHeight w:val="519"/>
        </w:trPr>
        <w:tc>
          <w:tcPr>
            <w:tcW w:w="1832"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p>
        </w:tc>
        <w:tc>
          <w:tcPr>
            <w:tcW w:w="157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Dualidad Económica</w:t>
            </w:r>
          </w:p>
        </w:tc>
        <w:tc>
          <w:tcPr>
            <w:tcW w:w="959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Se deberán reconocer en la contabilidad las disposiciones legales que sean aplicables en toda transacción, en su registro y en general, en cualquier aspecto relacionado con el sistema contable y presupuestal que afecte su situación financiera para el logro de sus fines y por sus fuentes, conforme a los derechos y obligaciones.</w:t>
            </w:r>
          </w:p>
        </w:tc>
      </w:tr>
      <w:tr w:rsidR="00B2530E" w:rsidRPr="00846872" w:rsidTr="00B83731">
        <w:trPr>
          <w:trHeight w:val="405"/>
        </w:trPr>
        <w:tc>
          <w:tcPr>
            <w:tcW w:w="1832"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p>
        </w:tc>
        <w:tc>
          <w:tcPr>
            <w:tcW w:w="157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Periodo Contable</w:t>
            </w:r>
          </w:p>
        </w:tc>
        <w:tc>
          <w:tcPr>
            <w:tcW w:w="959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La vida del ente económico se dividirá en periodos uniformes, para efecto del registro de operaciones y de información de las mismas</w:t>
            </w:r>
          </w:p>
        </w:tc>
      </w:tr>
      <w:tr w:rsidR="00B2530E" w:rsidRPr="00846872" w:rsidTr="00B83731">
        <w:trPr>
          <w:trHeight w:val="860"/>
        </w:trPr>
        <w:tc>
          <w:tcPr>
            <w:tcW w:w="1832"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EMISIÓN DE INFORMACIÓN DEL MANEJO DE LOS RECURSOS PÚBLICOS</w:t>
            </w:r>
          </w:p>
        </w:tc>
        <w:tc>
          <w:tcPr>
            <w:tcW w:w="157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Revelación suficiente</w:t>
            </w:r>
          </w:p>
        </w:tc>
        <w:tc>
          <w:tcPr>
            <w:tcW w:w="959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 xml:space="preserve">Los estados y </w:t>
            </w:r>
            <w:r w:rsidR="009C5039" w:rsidRPr="00846872">
              <w:rPr>
                <w:rFonts w:ascii="Arial" w:eastAsia="Calibri" w:hAnsi="Arial" w:cs="Arial"/>
                <w:spacing w:val="-1"/>
                <w:sz w:val="17"/>
                <w:szCs w:val="17"/>
              </w:rPr>
              <w:t>la información</w:t>
            </w:r>
            <w:r w:rsidRPr="00846872">
              <w:rPr>
                <w:rFonts w:ascii="Arial" w:eastAsia="Calibri" w:hAnsi="Arial" w:cs="Arial"/>
                <w:spacing w:val="-1"/>
                <w:sz w:val="17"/>
                <w:szCs w:val="17"/>
              </w:rPr>
              <w:t xml:space="preserve"> financiera deberán mostrar amplia y claramente la situación financiera y los resultados del ente público.</w:t>
            </w:r>
          </w:p>
        </w:tc>
      </w:tr>
      <w:tr w:rsidR="00B2530E" w:rsidRPr="00846872" w:rsidTr="00B83731">
        <w:trPr>
          <w:trHeight w:val="691"/>
        </w:trPr>
        <w:tc>
          <w:tcPr>
            <w:tcW w:w="1832"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p>
        </w:tc>
        <w:tc>
          <w:tcPr>
            <w:tcW w:w="157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Integración de la Información (consolidación )</w:t>
            </w:r>
          </w:p>
        </w:tc>
        <w:tc>
          <w:tcPr>
            <w:tcW w:w="9598" w:type="dxa"/>
            <w:tcBorders>
              <w:top w:val="single" w:sz="8" w:space="0" w:color="94B6D2"/>
              <w:bottom w:val="single" w:sz="8" w:space="0" w:color="94B6D2"/>
            </w:tcBorders>
          </w:tcPr>
          <w:p w:rsidR="00B2530E" w:rsidRPr="00846872" w:rsidRDefault="00B2530E" w:rsidP="00D56B01">
            <w:pPr>
              <w:jc w:val="both"/>
              <w:rPr>
                <w:rFonts w:ascii="Arial" w:eastAsia="Calibri" w:hAnsi="Arial" w:cs="Arial"/>
                <w:spacing w:val="-1"/>
                <w:sz w:val="17"/>
                <w:szCs w:val="17"/>
              </w:rPr>
            </w:pPr>
            <w:r w:rsidRPr="00846872">
              <w:rPr>
                <w:rFonts w:ascii="Arial" w:eastAsia="Calibri" w:hAnsi="Arial" w:cs="Arial"/>
                <w:spacing w:val="-1"/>
                <w:sz w:val="17"/>
                <w:szCs w:val="17"/>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tc>
      </w:tr>
    </w:tbl>
    <w:p w:rsidR="00B2530E" w:rsidRPr="00846872" w:rsidRDefault="00B2530E" w:rsidP="00B2530E">
      <w:pPr>
        <w:autoSpaceDE w:val="0"/>
        <w:autoSpaceDN w:val="0"/>
        <w:adjustRightInd w:val="0"/>
        <w:jc w:val="both"/>
        <w:rPr>
          <w:rFonts w:ascii="Arial" w:eastAsia="Calibri" w:hAnsi="Arial" w:cs="Arial"/>
          <w:spacing w:val="-1"/>
          <w:sz w:val="17"/>
          <w:szCs w:val="17"/>
        </w:rPr>
      </w:pPr>
    </w:p>
    <w:p w:rsidR="00B2530E" w:rsidRDefault="00B2530E" w:rsidP="00B2530E">
      <w:pPr>
        <w:pStyle w:val="Prrafodelista"/>
        <w:numPr>
          <w:ilvl w:val="0"/>
          <w:numId w:val="50"/>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lastRenderedPageBreak/>
        <w:t xml:space="preserve">La Institución si adopta el criterio de aplicar normatividad supletoria, para los casos en que existan lagunas en la normatividades explicitas, este criterio cumple con </w:t>
      </w:r>
      <w:r w:rsidRPr="00A67440">
        <w:rPr>
          <w:rFonts w:ascii="Arial" w:eastAsia="Calibri" w:hAnsi="Arial" w:cs="Arial"/>
          <w:spacing w:val="-1"/>
          <w:sz w:val="17"/>
          <w:szCs w:val="17"/>
        </w:rPr>
        <w:t>realizar la justificación razonable correspondiente, su alineación con los PBCG y a las características cualitativas asociadas descritas en el MCCG (documentos publicados en el Diario Oficial de la Federación, agosto 2009).</w:t>
      </w:r>
    </w:p>
    <w:p w:rsidR="00B2530E" w:rsidRPr="00A67440" w:rsidRDefault="00B2530E" w:rsidP="00B2530E">
      <w:pPr>
        <w:pStyle w:val="Prrafodelista"/>
        <w:numPr>
          <w:ilvl w:val="0"/>
          <w:numId w:val="50"/>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Para las entidades que por primera vez estén implementando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 de acuerdo a la Ley de Contabilidad, deberán:</w:t>
      </w:r>
      <w:r>
        <w:rPr>
          <w:rFonts w:ascii="Arial" w:eastAsia="Calibri" w:hAnsi="Arial" w:cs="Arial"/>
          <w:spacing w:val="-1"/>
          <w:sz w:val="17"/>
          <w:szCs w:val="17"/>
        </w:rPr>
        <w:t xml:space="preserve"> (NO aplica a la Institución)</w:t>
      </w:r>
    </w:p>
    <w:p w:rsidR="00B2530E" w:rsidRPr="00A67440" w:rsidRDefault="00B2530E" w:rsidP="00B2530E">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las nuevas políticas de reconocimiento;</w:t>
      </w:r>
    </w:p>
    <w:p w:rsidR="00B2530E" w:rsidRPr="00A67440" w:rsidRDefault="00B2530E" w:rsidP="00B2530E">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Su plan de implementación;</w:t>
      </w:r>
    </w:p>
    <w:p w:rsidR="00B2530E" w:rsidRPr="00A67440" w:rsidRDefault="00B2530E" w:rsidP="00B2530E">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los cambios en las políticas, la clasificación y medición de las mismas, así como su impacto en la información financiera, y</w:t>
      </w:r>
    </w:p>
    <w:p w:rsidR="00B2530E" w:rsidRPr="00A67440" w:rsidRDefault="00B2530E" w:rsidP="00B2530E">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Presentar los últimos estados financieros con la normatividad anteriormente utilizada con las nuevas políticas para fines de comparación en la transición a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B2530E">
      <w:pPr>
        <w:pStyle w:val="Prrafodelista"/>
        <w:numPr>
          <w:ilvl w:val="0"/>
          <w:numId w:val="50"/>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 se ha observado la normatividad emitida por el CONAC y las disposiciones legales aplicables.</w:t>
      </w:r>
    </w:p>
    <w:p w:rsidR="00A67440" w:rsidRPr="00A67440" w:rsidRDefault="00A67440" w:rsidP="00B2530E">
      <w:pPr>
        <w:pStyle w:val="Prrafodelista"/>
        <w:numPr>
          <w:ilvl w:val="0"/>
          <w:numId w:val="50"/>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67440" w:rsidRPr="00A67440" w:rsidRDefault="00A67440" w:rsidP="00B2530E">
      <w:pPr>
        <w:pStyle w:val="Prrafodelista"/>
        <w:numPr>
          <w:ilvl w:val="0"/>
          <w:numId w:val="50"/>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Postulados básicos.</w:t>
      </w:r>
    </w:p>
    <w:p w:rsidR="00A67440" w:rsidRPr="00A67440" w:rsidRDefault="00A67440" w:rsidP="00B2530E">
      <w:pPr>
        <w:pStyle w:val="Prrafodelista"/>
        <w:numPr>
          <w:ilvl w:val="0"/>
          <w:numId w:val="50"/>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67440" w:rsidRPr="00A67440" w:rsidRDefault="00A67440" w:rsidP="00B2530E">
      <w:pPr>
        <w:pStyle w:val="Prrafodelista"/>
        <w:numPr>
          <w:ilvl w:val="0"/>
          <w:numId w:val="50"/>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Para las entidades que por primera vez estén implementando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 de acuerdo a la Ley de Contabilidad, deberán: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las nuevas políticas de reconocimiento;</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Su plan de implementación;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los cambios en las políticas, la clasificación y medición de las mismas, así como su impacto en la información financiera, y</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Presentar los últimos estados financieros con la normatividad anteriormente utilizada con las nuevas políticas para fines de comparación en la transición a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w:t>
      </w:r>
    </w:p>
    <w:p w:rsidR="00A67440" w:rsidRPr="00A67440" w:rsidRDefault="00A67440" w:rsidP="00A67440">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B2530E" w:rsidRDefault="00B2530E" w:rsidP="00B2530E">
      <w:pPr>
        <w:pStyle w:val="Prrafodelista"/>
        <w:spacing w:before="120" w:after="120" w:line="240" w:lineRule="exact"/>
        <w:jc w:val="both"/>
        <w:rPr>
          <w:rFonts w:ascii="Arial" w:eastAsia="Calibri" w:hAnsi="Arial" w:cs="Arial"/>
          <w:b/>
          <w:spacing w:val="-1"/>
          <w:sz w:val="17"/>
          <w:szCs w:val="17"/>
        </w:rPr>
      </w:pPr>
    </w:p>
    <w:p w:rsidR="00B2530E" w:rsidRDefault="00B2530E" w:rsidP="00B2530E">
      <w:pPr>
        <w:pStyle w:val="Prrafodelista"/>
        <w:numPr>
          <w:ilvl w:val="1"/>
          <w:numId w:val="31"/>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Actualización: se informa que el valor del terreno de la Universidad se incrementa anualmente en el mes de enero de acuerdo al valor catastral expedido por la Dirección de Catastro, y según el artículo 23 de las Principales Reglas Registro y Valorización del Patrimonio (Elementos Generales) (CONAC) en el cual nos dice que en el caso de los bienes inmuebles, no ´podrá establecerse un valor inferior al catastral que le corresponda. </w:t>
      </w:r>
    </w:p>
    <w:p w:rsidR="00B2530E" w:rsidRPr="00B2530E" w:rsidRDefault="00B2530E" w:rsidP="00B2530E">
      <w:pPr>
        <w:pStyle w:val="Prrafodelista"/>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Para el ejercicio de 2017</w:t>
      </w:r>
      <w:r w:rsidRPr="00B2530E">
        <w:rPr>
          <w:rFonts w:ascii="Arial" w:eastAsia="Calibri" w:hAnsi="Arial" w:cs="Arial"/>
          <w:spacing w:val="-1"/>
          <w:sz w:val="17"/>
          <w:szCs w:val="17"/>
        </w:rPr>
        <w:t xml:space="preserve">, la actualización catastral fue a un importe de </w:t>
      </w:r>
      <w:r w:rsidR="00485576">
        <w:rPr>
          <w:rFonts w:ascii="Arial" w:eastAsia="Calibri" w:hAnsi="Arial" w:cs="Arial"/>
          <w:spacing w:val="-1"/>
          <w:sz w:val="17"/>
          <w:szCs w:val="17"/>
        </w:rPr>
        <w:t>$ 30</w:t>
      </w:r>
      <w:r w:rsidR="009C5039">
        <w:rPr>
          <w:rFonts w:ascii="Arial" w:eastAsia="Calibri" w:hAnsi="Arial" w:cs="Arial"/>
          <w:spacing w:val="-1"/>
          <w:sz w:val="17"/>
          <w:szCs w:val="17"/>
        </w:rPr>
        <w:t>, 946,960.03</w:t>
      </w:r>
    </w:p>
    <w:p w:rsidR="00B2530E" w:rsidRDefault="00B2530E" w:rsidP="00B2530E">
      <w:pPr>
        <w:pStyle w:val="Prrafodelista"/>
        <w:numPr>
          <w:ilvl w:val="1"/>
          <w:numId w:val="31"/>
        </w:numPr>
        <w:spacing w:before="120" w:after="120" w:line="240" w:lineRule="exact"/>
        <w:jc w:val="both"/>
        <w:rPr>
          <w:rFonts w:ascii="Arial" w:eastAsia="Calibri" w:hAnsi="Arial" w:cs="Arial"/>
          <w:spacing w:val="-1"/>
          <w:sz w:val="17"/>
          <w:szCs w:val="17"/>
        </w:rPr>
      </w:pPr>
      <w:r w:rsidRPr="00AD6DB1">
        <w:rPr>
          <w:rFonts w:ascii="Arial" w:eastAsia="Calibri" w:hAnsi="Arial" w:cs="Arial"/>
          <w:spacing w:val="-1"/>
          <w:sz w:val="17"/>
          <w:szCs w:val="17"/>
        </w:rPr>
        <w:t>Para el ejercicio actual no se realizaron operaciones en moneda extranjera.</w:t>
      </w:r>
    </w:p>
    <w:p w:rsidR="00B2530E" w:rsidRDefault="00B2530E" w:rsidP="00B2530E">
      <w:pPr>
        <w:pStyle w:val="Prrafodelista"/>
        <w:numPr>
          <w:ilvl w:val="1"/>
          <w:numId w:val="31"/>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 la Institución no le aplica un m</w:t>
      </w:r>
      <w:r w:rsidRPr="00A67440">
        <w:rPr>
          <w:rFonts w:ascii="Arial" w:eastAsia="Calibri" w:hAnsi="Arial" w:cs="Arial"/>
          <w:spacing w:val="-1"/>
          <w:sz w:val="17"/>
          <w:szCs w:val="17"/>
        </w:rPr>
        <w:t>étodo de valuación de la inversión en acciones de Compañías subsidiar</w:t>
      </w:r>
      <w:r>
        <w:rPr>
          <w:rFonts w:ascii="Arial" w:eastAsia="Calibri" w:hAnsi="Arial" w:cs="Arial"/>
          <w:spacing w:val="-1"/>
          <w:sz w:val="17"/>
          <w:szCs w:val="17"/>
        </w:rPr>
        <w:t xml:space="preserve">ias no consolidadas y asociadas, toda vez que no cuenta con compañías subsidiarias. </w:t>
      </w:r>
    </w:p>
    <w:p w:rsidR="00B2530E" w:rsidRDefault="00B2530E" w:rsidP="00B2530E">
      <w:pPr>
        <w:pStyle w:val="Prrafodelista"/>
        <w:numPr>
          <w:ilvl w:val="1"/>
          <w:numId w:val="31"/>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No aplica a la Institución un </w:t>
      </w:r>
      <w:r w:rsidRPr="00A67440">
        <w:rPr>
          <w:rFonts w:ascii="Arial" w:eastAsia="Calibri" w:hAnsi="Arial" w:cs="Arial"/>
          <w:spacing w:val="-1"/>
          <w:sz w:val="17"/>
          <w:szCs w:val="17"/>
        </w:rPr>
        <w:t>Sistema y método de valuación de in</w:t>
      </w:r>
      <w:r>
        <w:rPr>
          <w:rFonts w:ascii="Arial" w:eastAsia="Calibri" w:hAnsi="Arial" w:cs="Arial"/>
          <w:spacing w:val="-1"/>
          <w:sz w:val="17"/>
          <w:szCs w:val="17"/>
        </w:rPr>
        <w:t xml:space="preserve">ventarios y costo de lo vendido, ya que no enajena bienes, </w:t>
      </w:r>
      <w:r w:rsidR="009C5039">
        <w:rPr>
          <w:rFonts w:ascii="Arial" w:eastAsia="Calibri" w:hAnsi="Arial" w:cs="Arial"/>
          <w:spacing w:val="-1"/>
          <w:sz w:val="17"/>
          <w:szCs w:val="17"/>
        </w:rPr>
        <w:t>sino</w:t>
      </w:r>
      <w:r>
        <w:rPr>
          <w:rFonts w:ascii="Arial" w:eastAsia="Calibri" w:hAnsi="Arial" w:cs="Arial"/>
          <w:spacing w:val="-1"/>
          <w:sz w:val="17"/>
          <w:szCs w:val="17"/>
        </w:rPr>
        <w:t xml:space="preserve"> solamente presta servicios.</w:t>
      </w:r>
    </w:p>
    <w:p w:rsidR="00B2530E" w:rsidRDefault="00B2530E" w:rsidP="00B2530E">
      <w:pPr>
        <w:pStyle w:val="Prrafodelista"/>
        <w:numPr>
          <w:ilvl w:val="1"/>
          <w:numId w:val="31"/>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Beneficios a empleados: </w:t>
      </w:r>
    </w:p>
    <w:p w:rsidR="00B2530E" w:rsidRPr="00D55E05" w:rsidRDefault="00B2530E" w:rsidP="00B2530E">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lastRenderedPageBreak/>
        <w:t>El pasivo neto proyectado al cierre del ejercicio 201</w:t>
      </w:r>
      <w:r w:rsidR="00471F46">
        <w:rPr>
          <w:rFonts w:ascii="Arial" w:eastAsia="Calibri" w:hAnsi="Arial" w:cs="Arial"/>
          <w:spacing w:val="-1"/>
          <w:sz w:val="17"/>
          <w:szCs w:val="17"/>
        </w:rPr>
        <w:t>7</w:t>
      </w:r>
      <w:r>
        <w:rPr>
          <w:rFonts w:ascii="Arial" w:eastAsia="Calibri" w:hAnsi="Arial" w:cs="Arial"/>
          <w:spacing w:val="-1"/>
          <w:sz w:val="17"/>
          <w:szCs w:val="17"/>
        </w:rPr>
        <w:t xml:space="preserve">, en relación a la prima de antigüedad, está integrado por un importe </w:t>
      </w:r>
      <w:r w:rsidRPr="00D55E05">
        <w:rPr>
          <w:rFonts w:ascii="Arial" w:eastAsia="Calibri" w:hAnsi="Arial" w:cs="Arial"/>
          <w:spacing w:val="-1"/>
          <w:sz w:val="17"/>
          <w:szCs w:val="17"/>
        </w:rPr>
        <w:t xml:space="preserve">de </w:t>
      </w:r>
      <w:r w:rsidR="00D55E05">
        <w:rPr>
          <w:rFonts w:ascii="Arial" w:eastAsia="Calibri" w:hAnsi="Arial" w:cs="Arial"/>
          <w:spacing w:val="-1"/>
          <w:sz w:val="17"/>
          <w:szCs w:val="17"/>
        </w:rPr>
        <w:t>$ 4, 605,589.00</w:t>
      </w:r>
      <w:r>
        <w:rPr>
          <w:rFonts w:ascii="Arial" w:eastAsia="Calibri" w:hAnsi="Arial" w:cs="Arial"/>
          <w:spacing w:val="-1"/>
          <w:sz w:val="17"/>
          <w:szCs w:val="17"/>
        </w:rPr>
        <w:t xml:space="preserve"> pesos según estudio actuarial.</w:t>
      </w:r>
    </w:p>
    <w:p w:rsidR="00B2530E" w:rsidRDefault="00B2530E" w:rsidP="00B2530E">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El pasivo neto proyectado al cierre del ejercicio 201</w:t>
      </w:r>
      <w:r w:rsidR="00471F46">
        <w:rPr>
          <w:rFonts w:ascii="Arial" w:eastAsia="Calibri" w:hAnsi="Arial" w:cs="Arial"/>
          <w:spacing w:val="-1"/>
          <w:sz w:val="17"/>
          <w:szCs w:val="17"/>
        </w:rPr>
        <w:t>7</w:t>
      </w:r>
      <w:r>
        <w:rPr>
          <w:rFonts w:ascii="Arial" w:eastAsia="Calibri" w:hAnsi="Arial" w:cs="Arial"/>
          <w:spacing w:val="-1"/>
          <w:sz w:val="17"/>
          <w:szCs w:val="17"/>
        </w:rPr>
        <w:t xml:space="preserve">, en relación a indemnizaciones, está integrado por un importe de </w:t>
      </w:r>
      <w:r w:rsidR="00D55E05">
        <w:rPr>
          <w:rFonts w:ascii="Arial" w:eastAsia="Calibri" w:hAnsi="Arial" w:cs="Arial"/>
          <w:spacing w:val="-1"/>
          <w:sz w:val="17"/>
          <w:szCs w:val="17"/>
        </w:rPr>
        <w:t>$ 1, 185,767.65</w:t>
      </w:r>
      <w:r>
        <w:rPr>
          <w:rFonts w:ascii="Arial" w:eastAsia="Calibri" w:hAnsi="Arial" w:cs="Arial"/>
          <w:spacing w:val="-1"/>
          <w:sz w:val="17"/>
          <w:szCs w:val="17"/>
        </w:rPr>
        <w:t xml:space="preserve"> pesos según estudio actuarial.</w:t>
      </w:r>
    </w:p>
    <w:p w:rsidR="00B2530E" w:rsidRDefault="00B2530E" w:rsidP="00B2530E">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El pasivo neto proyectado al cierre del ejercicio 201</w:t>
      </w:r>
      <w:r w:rsidR="00471F46">
        <w:rPr>
          <w:rFonts w:ascii="Arial" w:eastAsia="Calibri" w:hAnsi="Arial" w:cs="Arial"/>
          <w:spacing w:val="-1"/>
          <w:sz w:val="17"/>
          <w:szCs w:val="17"/>
        </w:rPr>
        <w:t>7</w:t>
      </w:r>
      <w:r>
        <w:rPr>
          <w:rFonts w:ascii="Arial" w:eastAsia="Calibri" w:hAnsi="Arial" w:cs="Arial"/>
          <w:spacing w:val="-1"/>
          <w:sz w:val="17"/>
          <w:szCs w:val="17"/>
        </w:rPr>
        <w:t xml:space="preserve">, en relación al plan de pensiones, está integrado por un importe de </w:t>
      </w:r>
      <w:r w:rsidR="00D55E05">
        <w:rPr>
          <w:rFonts w:ascii="Arial" w:eastAsia="Calibri" w:hAnsi="Arial" w:cs="Arial"/>
          <w:spacing w:val="-1"/>
          <w:sz w:val="17"/>
          <w:szCs w:val="17"/>
        </w:rPr>
        <w:t>$ 299, 298,173.60</w:t>
      </w:r>
      <w:r>
        <w:rPr>
          <w:rFonts w:ascii="Arial" w:eastAsia="Calibri" w:hAnsi="Arial" w:cs="Arial"/>
          <w:spacing w:val="-1"/>
          <w:sz w:val="17"/>
          <w:szCs w:val="17"/>
        </w:rPr>
        <w:t xml:space="preserve"> pesos según estudio actuarial.</w:t>
      </w:r>
    </w:p>
    <w:p w:rsidR="00B2530E" w:rsidRDefault="00B2530E" w:rsidP="00B2530E">
      <w:pPr>
        <w:pStyle w:val="Prrafodelista"/>
        <w:numPr>
          <w:ilvl w:val="1"/>
          <w:numId w:val="31"/>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Provisiones: La Institución no tiene creadas provisiones económicas reales, solamente registra la depreciación acumulada presentándola restando al valor de los bienes, con el fin de dar cumplimiento a la Ley General de Contabilidad Gubernamental, sin embargo, dicho importe representaría el valor que debería valer la reserva económicamente para la reposición de bienes muebles e inmuebles.</w:t>
      </w:r>
    </w:p>
    <w:p w:rsidR="00B2530E" w:rsidRDefault="00B2530E" w:rsidP="00B2530E">
      <w:pPr>
        <w:pStyle w:val="Prrafodelista"/>
        <w:numPr>
          <w:ilvl w:val="1"/>
          <w:numId w:val="31"/>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Reservas: La Institución no cuenta con reserva alguna, toda vez que no genera normalmente remanentes al estar sujeta a un presupuesto base cero.</w:t>
      </w:r>
    </w:p>
    <w:p w:rsidR="00B2530E" w:rsidRPr="00B2530E" w:rsidRDefault="00B2530E" w:rsidP="00B2530E">
      <w:pPr>
        <w:pStyle w:val="Prrafodelista"/>
        <w:numPr>
          <w:ilvl w:val="1"/>
          <w:numId w:val="31"/>
        </w:numPr>
        <w:spacing w:before="120" w:after="120" w:line="240" w:lineRule="exact"/>
        <w:jc w:val="both"/>
        <w:rPr>
          <w:rFonts w:ascii="Arial" w:eastAsia="Calibri" w:hAnsi="Arial" w:cs="Arial"/>
          <w:spacing w:val="-1"/>
          <w:sz w:val="17"/>
          <w:szCs w:val="17"/>
        </w:rPr>
      </w:pPr>
      <w:r w:rsidRPr="00B2530E">
        <w:rPr>
          <w:rFonts w:ascii="Arial" w:eastAsia="Calibri" w:hAnsi="Arial" w:cs="Arial"/>
          <w:spacing w:val="-1"/>
          <w:sz w:val="17"/>
          <w:szCs w:val="17"/>
        </w:rPr>
        <w:t>No existieron durante el ejercicio 201</w:t>
      </w:r>
      <w:r w:rsidR="00471F46">
        <w:rPr>
          <w:rFonts w:ascii="Arial" w:eastAsia="Calibri" w:hAnsi="Arial" w:cs="Arial"/>
          <w:spacing w:val="-1"/>
          <w:sz w:val="17"/>
          <w:szCs w:val="17"/>
        </w:rPr>
        <w:t>7</w:t>
      </w:r>
      <w:r w:rsidRPr="00B2530E">
        <w:rPr>
          <w:rFonts w:ascii="Arial" w:eastAsia="Calibri" w:hAnsi="Arial" w:cs="Arial"/>
          <w:spacing w:val="-1"/>
          <w:sz w:val="17"/>
          <w:szCs w:val="17"/>
        </w:rPr>
        <w:t xml:space="preserve"> cambios en políticas contables ni corrección de errores, por lo que no hay revelación </w:t>
      </w:r>
      <w:r w:rsidR="009C5039" w:rsidRPr="00B2530E">
        <w:rPr>
          <w:rFonts w:ascii="Arial" w:eastAsia="Calibri" w:hAnsi="Arial" w:cs="Arial"/>
          <w:spacing w:val="-1"/>
          <w:sz w:val="17"/>
          <w:szCs w:val="17"/>
        </w:rPr>
        <w:t>de efectos</w:t>
      </w:r>
      <w:r w:rsidRPr="00B2530E">
        <w:rPr>
          <w:rFonts w:ascii="Arial" w:eastAsia="Calibri" w:hAnsi="Arial" w:cs="Arial"/>
          <w:spacing w:val="-1"/>
          <w:sz w:val="17"/>
          <w:szCs w:val="17"/>
        </w:rPr>
        <w:t xml:space="preserve"> por esta causa que se tendrían que </w:t>
      </w:r>
      <w:r w:rsidR="009C5039" w:rsidRPr="00B2530E">
        <w:rPr>
          <w:rFonts w:ascii="Arial" w:eastAsia="Calibri" w:hAnsi="Arial" w:cs="Arial"/>
          <w:spacing w:val="-1"/>
          <w:sz w:val="17"/>
          <w:szCs w:val="17"/>
        </w:rPr>
        <w:t>informar por</w:t>
      </w:r>
      <w:r w:rsidRPr="00B2530E">
        <w:rPr>
          <w:rFonts w:ascii="Arial" w:eastAsia="Calibri" w:hAnsi="Arial" w:cs="Arial"/>
          <w:spacing w:val="-1"/>
          <w:sz w:val="17"/>
          <w:szCs w:val="17"/>
        </w:rPr>
        <w:t xml:space="preserve"> la Institución ya sea retrospectivos o prospectivos.</w:t>
      </w:r>
    </w:p>
    <w:p w:rsidR="00B2530E" w:rsidRDefault="00B2530E" w:rsidP="00B2530E">
      <w:pPr>
        <w:pStyle w:val="Prrafodelista"/>
        <w:numPr>
          <w:ilvl w:val="1"/>
          <w:numId w:val="31"/>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Reclasificaciones: </w:t>
      </w:r>
      <w:r>
        <w:rPr>
          <w:rFonts w:ascii="Arial" w:eastAsia="Calibri" w:hAnsi="Arial" w:cs="Arial"/>
          <w:spacing w:val="-1"/>
          <w:sz w:val="17"/>
          <w:szCs w:val="17"/>
        </w:rPr>
        <w:t xml:space="preserve">Las reclasificaciones entre cuentas que se realizan y registran mediante pólizas de diario, mismas que están soportadas y </w:t>
      </w:r>
      <w:r w:rsidR="009C5039">
        <w:rPr>
          <w:rFonts w:ascii="Arial" w:eastAsia="Calibri" w:hAnsi="Arial" w:cs="Arial"/>
          <w:spacing w:val="-1"/>
          <w:sz w:val="17"/>
          <w:szCs w:val="17"/>
        </w:rPr>
        <w:t>no afectan</w:t>
      </w:r>
      <w:r w:rsidRPr="00A67440">
        <w:rPr>
          <w:rFonts w:ascii="Arial" w:eastAsia="Calibri" w:hAnsi="Arial" w:cs="Arial"/>
          <w:spacing w:val="-1"/>
          <w:sz w:val="17"/>
          <w:szCs w:val="17"/>
        </w:rPr>
        <w:t xml:space="preserve"> cambios en los tipos de operaciones.</w:t>
      </w:r>
    </w:p>
    <w:p w:rsidR="00B2530E" w:rsidRPr="00A67440" w:rsidRDefault="00B2530E" w:rsidP="00B2530E">
      <w:pPr>
        <w:pStyle w:val="Prrafodelista"/>
        <w:numPr>
          <w:ilvl w:val="1"/>
          <w:numId w:val="31"/>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Dep</w:t>
      </w:r>
      <w:r>
        <w:rPr>
          <w:rFonts w:ascii="Arial" w:eastAsia="Calibri" w:hAnsi="Arial" w:cs="Arial"/>
          <w:spacing w:val="-1"/>
          <w:sz w:val="17"/>
          <w:szCs w:val="17"/>
        </w:rPr>
        <w:t>uración y cancelación de saldos: Se registran mediante pólizas debidamente soportadas, y normalmente al cierre del ejercicio de conformidad a los procedimientos establecidos para tal fin.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Actualización: se informará del método utilizado para la actualización del valor de los activos, pasivos y Hacienda Pública/Patrimonio y las razones de dicha elección. Así como informar de la desconexión o reconexión inflacionaria.</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sobre la realización de operaciones en el extranjero y de sus efectos en la información financiera gubernamental.</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Método de valuación de la inversión en acciones de Compañías subsidiarias no consolidadas y asociadas.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Sistema y método de valuación de inventarios y costo de lo vendido.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Provisiones: objetivo de su creación, monto y plazo.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Reservas: objetivo de su creación, monto y plazo.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Cambios en políticas contables y corrección de errores junto con la revelación de los efectos que se tendrá en la información financiera del ente público, ya sea retrospectivos o prospectivos.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Reclasificaciones: se deben revelar todos aquellos movimientos entre cuentas por efectos de cambios en los tipos de operaciones.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Depuración y cancelación de saldos.</w:t>
      </w:r>
    </w:p>
    <w:p w:rsidR="00A67440" w:rsidRDefault="00A67440" w:rsidP="00A67440">
      <w:pPr>
        <w:spacing w:before="120" w:after="120" w:line="240" w:lineRule="exact"/>
        <w:jc w:val="both"/>
        <w:rPr>
          <w:rFonts w:ascii="Arial" w:eastAsia="Calibri" w:hAnsi="Arial" w:cs="Arial"/>
          <w:spacing w:val="-1"/>
          <w:sz w:val="17"/>
          <w:szCs w:val="17"/>
        </w:rPr>
      </w:pPr>
    </w:p>
    <w:p w:rsidR="00471F46" w:rsidRPr="00263051" w:rsidRDefault="00471F46" w:rsidP="00471F46">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r>
        <w:rPr>
          <w:rFonts w:ascii="Arial" w:eastAsia="Calibri" w:hAnsi="Arial" w:cs="Arial"/>
          <w:b/>
          <w:spacing w:val="-1"/>
          <w:sz w:val="17"/>
          <w:szCs w:val="17"/>
        </w:rPr>
        <w:t xml:space="preserve"> (No aplica para la Institución)</w:t>
      </w:r>
    </w:p>
    <w:p w:rsidR="00471F46" w:rsidRPr="00A67440" w:rsidRDefault="00471F46" w:rsidP="00471F46">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Activos en moneda extranjera.</w:t>
      </w:r>
    </w:p>
    <w:p w:rsidR="00471F46" w:rsidRPr="00A67440" w:rsidRDefault="00471F46" w:rsidP="00471F46">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Pasivos en moneda extranjera.</w:t>
      </w:r>
    </w:p>
    <w:p w:rsidR="00471F46" w:rsidRPr="00A67440" w:rsidRDefault="00471F46" w:rsidP="00471F46">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Posición en moneda extranjera.</w:t>
      </w:r>
    </w:p>
    <w:p w:rsidR="00471F46" w:rsidRPr="00A67440" w:rsidRDefault="00471F46" w:rsidP="00471F46">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Tipo de cambio.</w:t>
      </w:r>
    </w:p>
    <w:p w:rsidR="00471F46" w:rsidRPr="00A67440" w:rsidRDefault="00471F46" w:rsidP="00471F46">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Equivalente en moneda nacional.</w:t>
      </w:r>
    </w:p>
    <w:p w:rsidR="00471F46" w:rsidRPr="00A67440" w:rsidRDefault="00471F46" w:rsidP="00471F46">
      <w:pPr>
        <w:spacing w:before="120" w:after="120" w:line="240" w:lineRule="exact"/>
        <w:ind w:firstLine="709"/>
        <w:jc w:val="both"/>
        <w:rPr>
          <w:rFonts w:ascii="Arial" w:eastAsia="Calibri" w:hAnsi="Arial" w:cs="Arial"/>
          <w:spacing w:val="-1"/>
          <w:sz w:val="17"/>
          <w:szCs w:val="17"/>
        </w:rPr>
      </w:pPr>
      <w:r w:rsidRPr="00A67440">
        <w:rPr>
          <w:rFonts w:ascii="Arial" w:eastAsia="Calibri" w:hAnsi="Arial" w:cs="Arial"/>
          <w:spacing w:val="-1"/>
          <w:sz w:val="17"/>
          <w:szCs w:val="17"/>
        </w:rPr>
        <w:t>Lo anterior, por cada tipo de moneda extranjera que se encuentre en los rubros de activo y pasivo.</w:t>
      </w:r>
    </w:p>
    <w:p w:rsidR="00471F46" w:rsidRPr="00A67440" w:rsidRDefault="00471F46" w:rsidP="00471F46">
      <w:pPr>
        <w:spacing w:before="120" w:after="120" w:line="240" w:lineRule="exact"/>
        <w:ind w:firstLine="360"/>
        <w:jc w:val="both"/>
        <w:rPr>
          <w:rFonts w:ascii="Arial" w:eastAsia="Calibri" w:hAnsi="Arial" w:cs="Arial"/>
          <w:spacing w:val="-1"/>
          <w:sz w:val="17"/>
          <w:szCs w:val="17"/>
        </w:rPr>
      </w:pPr>
      <w:r w:rsidRPr="00A67440">
        <w:rPr>
          <w:rFonts w:ascii="Arial" w:eastAsia="Calibri" w:hAnsi="Arial" w:cs="Arial"/>
          <w:spacing w:val="-1"/>
          <w:sz w:val="17"/>
          <w:szCs w:val="17"/>
        </w:rPr>
        <w:t>Adicionalmente, se informará sobre los métodos de protección de riesgo por variaciones en el tipo de cambio.</w:t>
      </w:r>
    </w:p>
    <w:p w:rsidR="00471F46" w:rsidRDefault="00471F46" w:rsidP="00471F46">
      <w:pPr>
        <w:spacing w:before="120" w:after="120" w:line="240" w:lineRule="exact"/>
        <w:jc w:val="both"/>
        <w:rPr>
          <w:rFonts w:ascii="Arial" w:eastAsia="Calibri" w:hAnsi="Arial" w:cs="Arial"/>
          <w:spacing w:val="-1"/>
          <w:sz w:val="17"/>
          <w:szCs w:val="17"/>
        </w:rPr>
      </w:pPr>
    </w:p>
    <w:p w:rsidR="00471F46" w:rsidRPr="00471F46" w:rsidRDefault="00471F46" w:rsidP="00471F46">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r>
        <w:rPr>
          <w:rFonts w:ascii="Arial" w:eastAsia="Calibri" w:hAnsi="Arial" w:cs="Arial"/>
          <w:b/>
          <w:spacing w:val="-1"/>
          <w:sz w:val="17"/>
          <w:szCs w:val="17"/>
        </w:rPr>
        <w:t>:</w:t>
      </w:r>
    </w:p>
    <w:p w:rsidR="00471F46" w:rsidRDefault="00471F46" w:rsidP="00471F46">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Vida útil o porcentajes de depreciación, deterioro o amortización utilizados en los diferentes tipos de activos.</w:t>
      </w:r>
    </w:p>
    <w:p w:rsidR="00471F46" w:rsidRPr="00676A83" w:rsidRDefault="00471F46" w:rsidP="00471F46">
      <w:pPr>
        <w:spacing w:before="120" w:after="120" w:line="240" w:lineRule="exact"/>
        <w:ind w:left="1080"/>
        <w:jc w:val="both"/>
        <w:rPr>
          <w:rFonts w:ascii="Arial" w:eastAsia="Calibri" w:hAnsi="Arial" w:cs="Arial"/>
          <w:spacing w:val="-1"/>
          <w:sz w:val="17"/>
          <w:szCs w:val="17"/>
        </w:rPr>
      </w:pPr>
      <w:r>
        <w:rPr>
          <w:rFonts w:ascii="Arial" w:eastAsia="Calibri" w:hAnsi="Arial" w:cs="Arial"/>
          <w:spacing w:val="-1"/>
          <w:sz w:val="17"/>
          <w:szCs w:val="17"/>
        </w:rPr>
        <w:t>Los porcentajes de depreciación aplicados en la Institución se realizan de acuerdo a los establecidos por la CONAC, y que se publicaron en el DOF del 15 de agosto de 2012. (Parámetros de estimación de vida útil)</w:t>
      </w:r>
    </w:p>
    <w:p w:rsidR="00471F46" w:rsidRPr="00471F46" w:rsidRDefault="00471F46" w:rsidP="00471F46">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 xml:space="preserve">Cambios en el porcentaje de depreciación </w:t>
      </w:r>
      <w:r>
        <w:rPr>
          <w:rFonts w:ascii="Arial" w:eastAsia="Calibri" w:hAnsi="Arial" w:cs="Arial"/>
          <w:spacing w:val="-1"/>
          <w:sz w:val="17"/>
          <w:szCs w:val="17"/>
        </w:rPr>
        <w:t>o valor residual de los activos: No existieron durante el ejercicio.</w:t>
      </w:r>
    </w:p>
    <w:p w:rsidR="00471F46" w:rsidRDefault="00471F46" w:rsidP="00471F46">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Importe de los gastos capitalizados en el ejercicio, tanto financieros com</w:t>
      </w:r>
      <w:r>
        <w:rPr>
          <w:rFonts w:ascii="Arial" w:eastAsia="Calibri" w:hAnsi="Arial" w:cs="Arial"/>
          <w:spacing w:val="-1"/>
          <w:sz w:val="17"/>
          <w:szCs w:val="17"/>
        </w:rPr>
        <w:t>o de investigación y desarrollo: No existieron.</w:t>
      </w:r>
    </w:p>
    <w:p w:rsidR="00471F46" w:rsidRPr="00676A83" w:rsidRDefault="00471F46" w:rsidP="00471F46">
      <w:pPr>
        <w:pStyle w:val="Prrafodelista"/>
        <w:rPr>
          <w:rFonts w:ascii="Arial" w:eastAsia="Calibri" w:hAnsi="Arial" w:cs="Arial"/>
          <w:spacing w:val="-1"/>
          <w:sz w:val="17"/>
          <w:szCs w:val="17"/>
        </w:rPr>
      </w:pPr>
    </w:p>
    <w:p w:rsidR="00471F46" w:rsidRDefault="00471F46" w:rsidP="00471F46">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Riesgos por tipo de cambio o tipo de interés</w:t>
      </w:r>
      <w:r>
        <w:rPr>
          <w:rFonts w:ascii="Arial" w:eastAsia="Calibri" w:hAnsi="Arial" w:cs="Arial"/>
          <w:spacing w:val="-1"/>
          <w:sz w:val="17"/>
          <w:szCs w:val="17"/>
        </w:rPr>
        <w:t xml:space="preserve"> de las inversiones financieras: No aplica para la Institución.</w:t>
      </w:r>
    </w:p>
    <w:p w:rsidR="00471F46" w:rsidRPr="0010523D" w:rsidRDefault="00471F46" w:rsidP="00471F46">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w:t>
      </w:r>
      <w:r>
        <w:rPr>
          <w:rFonts w:ascii="Arial" w:eastAsia="Calibri" w:hAnsi="Arial" w:cs="Arial"/>
          <w:spacing w:val="-1"/>
          <w:sz w:val="17"/>
          <w:szCs w:val="17"/>
        </w:rPr>
        <w:t>enes construidos por la entidad: No aplica para la Institución.</w:t>
      </w:r>
    </w:p>
    <w:p w:rsidR="00471F46" w:rsidRDefault="00471F46" w:rsidP="00471F46">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Otras circunstancias de carácter significativo que afecten el activo, tales como bienes en garantía, señalados en embargos, litigios, títulos de inversiones entregados en garantías, baja significativa del valor de inversiones financieras, etc.</w:t>
      </w:r>
      <w:r>
        <w:rPr>
          <w:rFonts w:ascii="Arial" w:eastAsia="Calibri" w:hAnsi="Arial" w:cs="Arial"/>
          <w:spacing w:val="-1"/>
          <w:sz w:val="17"/>
          <w:szCs w:val="17"/>
        </w:rPr>
        <w:t>: No existen circunstancias que afecten el activo por dichos conceptos.</w:t>
      </w:r>
    </w:p>
    <w:p w:rsidR="00471F46" w:rsidRDefault="00471F46" w:rsidP="00471F46">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Desmantelamiento de Activos, procedimientos, i</w:t>
      </w:r>
      <w:r>
        <w:rPr>
          <w:rFonts w:ascii="Arial" w:eastAsia="Calibri" w:hAnsi="Arial" w:cs="Arial"/>
          <w:spacing w:val="-1"/>
          <w:sz w:val="17"/>
          <w:szCs w:val="17"/>
        </w:rPr>
        <w:t xml:space="preserve">mplicaciones, efectos contables: </w:t>
      </w:r>
      <w:r w:rsidR="00D55E05">
        <w:rPr>
          <w:rFonts w:ascii="Arial" w:eastAsia="Calibri" w:hAnsi="Arial" w:cs="Arial"/>
          <w:spacing w:val="-1"/>
          <w:sz w:val="17"/>
          <w:szCs w:val="17"/>
        </w:rPr>
        <w:t>en este ejercicio de dieron de baja ac</w:t>
      </w:r>
      <w:r w:rsidR="00B70422">
        <w:rPr>
          <w:rFonts w:ascii="Arial" w:eastAsia="Calibri" w:hAnsi="Arial" w:cs="Arial"/>
          <w:spacing w:val="-1"/>
          <w:sz w:val="17"/>
          <w:szCs w:val="17"/>
        </w:rPr>
        <w:t>tivos fijos por un importe de $ 4</w:t>
      </w:r>
      <w:r w:rsidR="00DB3CA6">
        <w:rPr>
          <w:rFonts w:ascii="Arial" w:eastAsia="Calibri" w:hAnsi="Arial" w:cs="Arial"/>
          <w:spacing w:val="-1"/>
          <w:sz w:val="17"/>
          <w:szCs w:val="17"/>
        </w:rPr>
        <w:t>, 377,110.09</w:t>
      </w:r>
      <w:r w:rsidR="00B70422">
        <w:rPr>
          <w:rFonts w:ascii="Arial" w:eastAsia="Calibri" w:hAnsi="Arial" w:cs="Arial"/>
          <w:spacing w:val="-1"/>
          <w:sz w:val="17"/>
          <w:szCs w:val="17"/>
        </w:rPr>
        <w:t xml:space="preserve"> bajo el concepto de bienes inservibles u obsoletos.</w:t>
      </w:r>
    </w:p>
    <w:p w:rsidR="00471F46" w:rsidRDefault="00471F46" w:rsidP="00471F46">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Adminis</w:t>
      </w:r>
      <w:r>
        <w:rPr>
          <w:rFonts w:ascii="Arial" w:eastAsia="Calibri" w:hAnsi="Arial" w:cs="Arial"/>
          <w:spacing w:val="-1"/>
          <w:sz w:val="17"/>
          <w:szCs w:val="17"/>
        </w:rPr>
        <w:t xml:space="preserve">tración de activos y </w:t>
      </w:r>
      <w:r w:rsidRPr="0010523D">
        <w:rPr>
          <w:rFonts w:ascii="Arial" w:eastAsia="Calibri" w:hAnsi="Arial" w:cs="Arial"/>
          <w:spacing w:val="-1"/>
          <w:sz w:val="17"/>
          <w:szCs w:val="17"/>
        </w:rPr>
        <w:t>planeación con el objetivo de que el ente los</w:t>
      </w:r>
      <w:r>
        <w:rPr>
          <w:rFonts w:ascii="Arial" w:eastAsia="Calibri" w:hAnsi="Arial" w:cs="Arial"/>
          <w:spacing w:val="-1"/>
          <w:sz w:val="17"/>
          <w:szCs w:val="17"/>
        </w:rPr>
        <w:t xml:space="preserve"> utilice de manera más efectiva: </w:t>
      </w:r>
    </w:p>
    <w:p w:rsidR="00471F46" w:rsidRPr="00D33E8A" w:rsidRDefault="00471F46" w:rsidP="00471F46">
      <w:pPr>
        <w:pStyle w:val="Prrafodelista"/>
        <w:rPr>
          <w:rFonts w:ascii="Arial" w:eastAsia="Calibri" w:hAnsi="Arial" w:cs="Arial"/>
          <w:spacing w:val="-1"/>
          <w:sz w:val="17"/>
          <w:szCs w:val="17"/>
        </w:rPr>
      </w:pPr>
    </w:p>
    <w:p w:rsidR="00471F46" w:rsidRPr="00D33E8A" w:rsidRDefault="00471F46" w:rsidP="00471F46">
      <w:pPr>
        <w:spacing w:before="120" w:after="120" w:line="240" w:lineRule="exact"/>
        <w:ind w:left="1080"/>
        <w:jc w:val="both"/>
        <w:rPr>
          <w:rFonts w:ascii="Arial" w:eastAsia="Calibri" w:hAnsi="Arial" w:cs="Arial"/>
          <w:spacing w:val="-1"/>
          <w:sz w:val="17"/>
          <w:szCs w:val="17"/>
        </w:rPr>
      </w:pPr>
      <w:r w:rsidRPr="00D33E8A">
        <w:rPr>
          <w:rFonts w:ascii="Arial" w:eastAsia="Calibri" w:hAnsi="Arial" w:cs="Arial"/>
          <w:spacing w:val="-1"/>
          <w:sz w:val="17"/>
          <w:szCs w:val="17"/>
        </w:rPr>
        <w:t>La Institución cuenta con un Área responsable de dar cumplimiento con estos preceptos, siendo esta la Subdirección de Recursos Materiales y Contratación de Servicios.</w:t>
      </w:r>
    </w:p>
    <w:p w:rsidR="00471F46" w:rsidRPr="0057155F" w:rsidRDefault="00471F46" w:rsidP="00471F46">
      <w:pPr>
        <w:pStyle w:val="Prrafodelista"/>
        <w:rPr>
          <w:rFonts w:ascii="Arial" w:eastAsia="Calibri" w:hAnsi="Arial" w:cs="Arial"/>
          <w:spacing w:val="-1"/>
          <w:sz w:val="17"/>
          <w:szCs w:val="17"/>
        </w:rPr>
      </w:pPr>
    </w:p>
    <w:p w:rsidR="00471F46" w:rsidRPr="0010523D" w:rsidRDefault="00471F46" w:rsidP="00471F46">
      <w:pPr>
        <w:pStyle w:val="Prrafodelista"/>
        <w:numPr>
          <w:ilvl w:val="1"/>
          <w:numId w:val="40"/>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r>
        <w:rPr>
          <w:rFonts w:ascii="Arial" w:eastAsia="Calibri" w:hAnsi="Arial" w:cs="Arial"/>
          <w:spacing w:val="-1"/>
          <w:sz w:val="17"/>
          <w:szCs w:val="17"/>
        </w:rPr>
        <w:t xml:space="preserve"> (Este apartado no aplica para la Institución).</w:t>
      </w:r>
    </w:p>
    <w:p w:rsidR="00471F46" w:rsidRPr="0010523D" w:rsidRDefault="00471F46" w:rsidP="00471F46">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r w:rsidRPr="00D33E8A">
        <w:rPr>
          <w:rFonts w:ascii="Arial" w:eastAsia="Calibri" w:hAnsi="Arial" w:cs="Arial"/>
          <w:spacing w:val="-1"/>
          <w:sz w:val="17"/>
          <w:szCs w:val="17"/>
        </w:rPr>
        <w:t xml:space="preserve"> </w:t>
      </w:r>
      <w:r>
        <w:rPr>
          <w:rFonts w:ascii="Arial" w:eastAsia="Calibri" w:hAnsi="Arial" w:cs="Arial"/>
          <w:spacing w:val="-1"/>
          <w:sz w:val="17"/>
          <w:szCs w:val="17"/>
        </w:rPr>
        <w:t>(Este apartado no aplica para la Institución).</w:t>
      </w:r>
    </w:p>
    <w:p w:rsidR="00471F46" w:rsidRPr="0010523D" w:rsidRDefault="00471F46" w:rsidP="00471F46">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Indirecto.</w:t>
      </w:r>
      <w:r w:rsidRPr="00D33E8A">
        <w:rPr>
          <w:rFonts w:ascii="Arial" w:eastAsia="Calibri" w:hAnsi="Arial" w:cs="Arial"/>
          <w:spacing w:val="-1"/>
          <w:sz w:val="17"/>
          <w:szCs w:val="17"/>
        </w:rPr>
        <w:t xml:space="preserve"> </w:t>
      </w:r>
      <w:r>
        <w:rPr>
          <w:rFonts w:ascii="Arial" w:eastAsia="Calibri" w:hAnsi="Arial" w:cs="Arial"/>
          <w:spacing w:val="-1"/>
          <w:sz w:val="17"/>
          <w:szCs w:val="17"/>
        </w:rPr>
        <w:t>(Este apartado no aplica para la Institución).</w:t>
      </w:r>
    </w:p>
    <w:p w:rsidR="00471F46" w:rsidRPr="0010523D" w:rsidRDefault="00471F46" w:rsidP="00471F46">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r w:rsidRPr="00D33E8A">
        <w:rPr>
          <w:rFonts w:ascii="Arial" w:eastAsia="Calibri" w:hAnsi="Arial" w:cs="Arial"/>
          <w:spacing w:val="-1"/>
          <w:sz w:val="17"/>
          <w:szCs w:val="17"/>
        </w:rPr>
        <w:t xml:space="preserve"> </w:t>
      </w:r>
      <w:r>
        <w:rPr>
          <w:rFonts w:ascii="Arial" w:eastAsia="Calibri" w:hAnsi="Arial" w:cs="Arial"/>
          <w:spacing w:val="-1"/>
          <w:sz w:val="17"/>
          <w:szCs w:val="17"/>
        </w:rPr>
        <w:t>(Este apartado no aplica para la Institución).</w:t>
      </w:r>
    </w:p>
    <w:p w:rsidR="00471F46" w:rsidRPr="0010523D" w:rsidRDefault="00471F46" w:rsidP="00471F46">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minoritaria.</w:t>
      </w:r>
      <w:r w:rsidRPr="00D33E8A">
        <w:rPr>
          <w:rFonts w:ascii="Arial" w:eastAsia="Calibri" w:hAnsi="Arial" w:cs="Arial"/>
          <w:spacing w:val="-1"/>
          <w:sz w:val="17"/>
          <w:szCs w:val="17"/>
        </w:rPr>
        <w:t xml:space="preserve"> </w:t>
      </w:r>
      <w:r>
        <w:rPr>
          <w:rFonts w:ascii="Arial" w:eastAsia="Calibri" w:hAnsi="Arial" w:cs="Arial"/>
          <w:spacing w:val="-1"/>
          <w:sz w:val="17"/>
          <w:szCs w:val="17"/>
        </w:rPr>
        <w:t>(Este apartado no aplica para la Institución).</w:t>
      </w:r>
    </w:p>
    <w:p w:rsidR="00471F46" w:rsidRPr="0010523D" w:rsidRDefault="00471F46" w:rsidP="00471F46">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r w:rsidRPr="00D33E8A">
        <w:rPr>
          <w:rFonts w:ascii="Arial" w:eastAsia="Calibri" w:hAnsi="Arial" w:cs="Arial"/>
          <w:spacing w:val="-1"/>
          <w:sz w:val="17"/>
          <w:szCs w:val="17"/>
        </w:rPr>
        <w:t xml:space="preserve"> </w:t>
      </w:r>
      <w:r>
        <w:rPr>
          <w:rFonts w:ascii="Arial" w:eastAsia="Calibri" w:hAnsi="Arial" w:cs="Arial"/>
          <w:spacing w:val="-1"/>
          <w:sz w:val="17"/>
          <w:szCs w:val="17"/>
        </w:rPr>
        <w:t>(Este apartado no aplica para la Institución).</w:t>
      </w:r>
    </w:p>
    <w:p w:rsidR="00471F46" w:rsidRPr="00D33E8A" w:rsidRDefault="00471F46" w:rsidP="00471F46">
      <w:pPr>
        <w:spacing w:before="120" w:after="120" w:line="240" w:lineRule="exact"/>
        <w:ind w:left="1080"/>
        <w:jc w:val="both"/>
        <w:rPr>
          <w:rFonts w:ascii="Arial" w:eastAsia="Calibri" w:hAnsi="Arial" w:cs="Arial"/>
          <w:spacing w:val="-1"/>
          <w:sz w:val="17"/>
          <w:szCs w:val="17"/>
        </w:rPr>
      </w:pPr>
    </w:p>
    <w:p w:rsidR="00471F46" w:rsidRPr="0010523D" w:rsidRDefault="00471F46" w:rsidP="00471F46">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r>
        <w:rPr>
          <w:rFonts w:ascii="Arial" w:eastAsia="Calibri" w:hAnsi="Arial" w:cs="Arial"/>
          <w:b/>
          <w:spacing w:val="-1"/>
          <w:sz w:val="17"/>
          <w:szCs w:val="17"/>
        </w:rPr>
        <w:t xml:space="preserve">: </w:t>
      </w:r>
    </w:p>
    <w:p w:rsidR="00471F46" w:rsidRPr="0057155F" w:rsidRDefault="00471F46" w:rsidP="00471F46">
      <w:pPr>
        <w:spacing w:before="120" w:after="120" w:line="240" w:lineRule="exact"/>
        <w:ind w:left="1080"/>
        <w:jc w:val="both"/>
        <w:rPr>
          <w:rFonts w:ascii="Arial" w:eastAsia="Calibri" w:hAnsi="Arial" w:cs="Arial"/>
          <w:spacing w:val="-1"/>
          <w:sz w:val="17"/>
          <w:szCs w:val="17"/>
        </w:rPr>
      </w:pPr>
      <w:r w:rsidRPr="0057155F">
        <w:rPr>
          <w:rFonts w:ascii="Arial" w:eastAsia="Calibri" w:hAnsi="Arial" w:cs="Arial"/>
          <w:spacing w:val="-1"/>
          <w:sz w:val="17"/>
          <w:szCs w:val="17"/>
        </w:rPr>
        <w:t>Se deberá informar: (Este apartado no aplica para la Institución).</w:t>
      </w:r>
    </w:p>
    <w:p w:rsidR="00471F46" w:rsidRPr="0010523D" w:rsidRDefault="00471F46" w:rsidP="00471F46">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p>
    <w:p w:rsidR="00471F46" w:rsidRPr="0010523D" w:rsidRDefault="00471F46" w:rsidP="00471F46">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lastRenderedPageBreak/>
        <w:t>Enlistar los de mayor monto de disponibilidad, relacionando aquéllos que conforman el 80% de las disponibilidades.</w:t>
      </w:r>
    </w:p>
    <w:p w:rsidR="00471F46" w:rsidRDefault="00471F46" w:rsidP="00471F46">
      <w:pPr>
        <w:spacing w:before="120" w:after="120" w:line="240" w:lineRule="exact"/>
        <w:jc w:val="both"/>
        <w:rPr>
          <w:rFonts w:ascii="Arial" w:eastAsia="Calibri" w:hAnsi="Arial" w:cs="Arial"/>
          <w:spacing w:val="-1"/>
          <w:sz w:val="17"/>
          <w:szCs w:val="17"/>
        </w:rPr>
      </w:pPr>
    </w:p>
    <w:p w:rsidR="00471F46" w:rsidRDefault="00471F46" w:rsidP="00471F46">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471F46" w:rsidRPr="0057155F" w:rsidRDefault="00471F46" w:rsidP="00471F46">
      <w:pPr>
        <w:spacing w:before="120" w:after="120" w:line="240" w:lineRule="exact"/>
        <w:ind w:left="360"/>
        <w:jc w:val="both"/>
        <w:rPr>
          <w:rFonts w:ascii="Arial" w:eastAsia="Calibri" w:hAnsi="Arial" w:cs="Arial"/>
          <w:spacing w:val="-1"/>
          <w:sz w:val="17"/>
          <w:szCs w:val="17"/>
        </w:rPr>
      </w:pPr>
      <w:r w:rsidRPr="0057155F">
        <w:rPr>
          <w:rFonts w:ascii="Arial" w:eastAsia="Calibri" w:hAnsi="Arial" w:cs="Arial"/>
          <w:spacing w:val="-1"/>
          <w:sz w:val="17"/>
          <w:szCs w:val="17"/>
        </w:rPr>
        <w:t>Se deberá informar: (Este apartado no aplica para la Institución).</w:t>
      </w:r>
    </w:p>
    <w:p w:rsidR="00471F46" w:rsidRPr="0057155F" w:rsidRDefault="00471F46" w:rsidP="00471F46">
      <w:pPr>
        <w:spacing w:before="120" w:after="120" w:line="240" w:lineRule="exact"/>
        <w:ind w:left="360"/>
        <w:jc w:val="both"/>
        <w:rPr>
          <w:rFonts w:ascii="Arial" w:eastAsia="Calibri" w:hAnsi="Arial" w:cs="Arial"/>
          <w:b/>
          <w:spacing w:val="-1"/>
          <w:sz w:val="17"/>
          <w:szCs w:val="17"/>
        </w:rPr>
      </w:pPr>
    </w:p>
    <w:p w:rsidR="00471F46" w:rsidRPr="0010523D" w:rsidRDefault="00471F46" w:rsidP="00471F46">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471F46" w:rsidRPr="0010523D" w:rsidRDefault="00471F46" w:rsidP="00471F46">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Proyección de la recaudación e ingresos en el mediano plazo.</w:t>
      </w:r>
    </w:p>
    <w:p w:rsidR="00471F46" w:rsidRDefault="00471F46" w:rsidP="00471F46">
      <w:pPr>
        <w:spacing w:before="120" w:after="120" w:line="240" w:lineRule="exact"/>
        <w:jc w:val="both"/>
        <w:rPr>
          <w:rFonts w:ascii="Arial" w:eastAsia="Calibri" w:hAnsi="Arial" w:cs="Arial"/>
          <w:spacing w:val="-1"/>
          <w:sz w:val="17"/>
          <w:szCs w:val="17"/>
        </w:rPr>
      </w:pPr>
    </w:p>
    <w:p w:rsidR="00471F46" w:rsidRDefault="00471F46" w:rsidP="00471F46">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r w:rsidRPr="0057155F">
        <w:rPr>
          <w:rFonts w:ascii="Arial" w:eastAsia="Calibri" w:hAnsi="Arial" w:cs="Arial"/>
          <w:spacing w:val="-1"/>
          <w:sz w:val="17"/>
          <w:szCs w:val="17"/>
        </w:rPr>
        <w:t xml:space="preserve"> (Este apartado no aplica para la Institución).</w:t>
      </w:r>
    </w:p>
    <w:p w:rsidR="00471F46" w:rsidRPr="0057155F" w:rsidRDefault="00471F46" w:rsidP="00471F46">
      <w:pPr>
        <w:spacing w:before="120" w:after="120" w:line="240" w:lineRule="exact"/>
        <w:ind w:left="360"/>
        <w:jc w:val="both"/>
        <w:rPr>
          <w:rFonts w:ascii="Arial" w:eastAsia="Calibri" w:hAnsi="Arial" w:cs="Arial"/>
          <w:spacing w:val="-1"/>
          <w:sz w:val="17"/>
          <w:szCs w:val="17"/>
        </w:rPr>
      </w:pPr>
      <w:r w:rsidRPr="0057155F">
        <w:rPr>
          <w:rFonts w:ascii="Arial" w:eastAsia="Calibri" w:hAnsi="Arial" w:cs="Arial"/>
          <w:spacing w:val="-1"/>
          <w:sz w:val="17"/>
          <w:szCs w:val="17"/>
        </w:rPr>
        <w:t>Se deberá informar: (Este apartado no aplica para la Institución).</w:t>
      </w:r>
    </w:p>
    <w:p w:rsidR="00471F46" w:rsidRPr="0010523D" w:rsidRDefault="00471F46" w:rsidP="00471F46">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p>
    <w:p w:rsidR="00471F46" w:rsidRPr="0010523D" w:rsidRDefault="00471F46" w:rsidP="00471F46">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p>
    <w:p w:rsidR="00471F46" w:rsidRDefault="00471F46" w:rsidP="00471F46">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471F46" w:rsidRPr="0057155F" w:rsidRDefault="00471F46" w:rsidP="00471F46">
      <w:pPr>
        <w:spacing w:before="120" w:after="120" w:line="240" w:lineRule="exact"/>
        <w:ind w:left="360"/>
        <w:jc w:val="both"/>
        <w:rPr>
          <w:rFonts w:ascii="Arial" w:eastAsia="Calibri" w:hAnsi="Arial" w:cs="Arial"/>
          <w:spacing w:val="-1"/>
          <w:sz w:val="17"/>
          <w:szCs w:val="17"/>
        </w:rPr>
      </w:pPr>
      <w:r w:rsidRPr="0057155F">
        <w:rPr>
          <w:rFonts w:ascii="Arial" w:eastAsia="Calibri" w:hAnsi="Arial" w:cs="Arial"/>
          <w:spacing w:val="-1"/>
          <w:sz w:val="17"/>
          <w:szCs w:val="17"/>
        </w:rPr>
        <w:t>Se deberá informar: (Este apartado no aplica para la Institución).</w:t>
      </w:r>
    </w:p>
    <w:p w:rsidR="00471F46" w:rsidRDefault="00471F46" w:rsidP="00471F46">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p>
    <w:p w:rsidR="00471F46" w:rsidRPr="0010523D" w:rsidRDefault="00471F46" w:rsidP="00471F46">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471F46" w:rsidRPr="00A67440" w:rsidRDefault="00471F46" w:rsidP="00471F46">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w:t>
      </w:r>
      <w:r w:rsidRPr="00A67440">
        <w:rPr>
          <w:rFonts w:ascii="Arial" w:eastAsia="Calibri" w:hAnsi="Arial" w:cs="Arial"/>
          <w:spacing w:val="-1"/>
          <w:sz w:val="17"/>
          <w:szCs w:val="17"/>
        </w:rPr>
        <w:tab/>
      </w:r>
      <w:r>
        <w:rPr>
          <w:rFonts w:ascii="Arial" w:eastAsia="Calibri" w:hAnsi="Arial" w:cs="Arial"/>
          <w:spacing w:val="-1"/>
          <w:sz w:val="17"/>
          <w:szCs w:val="17"/>
        </w:rPr>
        <w:t xml:space="preserve">La Institución cuenta con sus manuales de procedimientos de la Secretaría de Administración y Finanzas, en donde se establecen las </w:t>
      </w:r>
      <w:r w:rsidRPr="00A67440">
        <w:rPr>
          <w:rFonts w:ascii="Arial" w:eastAsia="Calibri" w:hAnsi="Arial" w:cs="Arial"/>
          <w:spacing w:val="-1"/>
          <w:sz w:val="17"/>
          <w:szCs w:val="17"/>
        </w:rPr>
        <w:t>Principal</w:t>
      </w:r>
      <w:r>
        <w:rPr>
          <w:rFonts w:ascii="Arial" w:eastAsia="Calibri" w:hAnsi="Arial" w:cs="Arial"/>
          <w:spacing w:val="-1"/>
          <w:sz w:val="17"/>
          <w:szCs w:val="17"/>
        </w:rPr>
        <w:t>es Políticas de control interno, mismos que se encuentran publicados en el sistema de difusión interna denominado SIIL.</w:t>
      </w:r>
    </w:p>
    <w:p w:rsidR="00471F46" w:rsidRPr="00A67440" w:rsidRDefault="00471F46" w:rsidP="00471F46">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w:t>
      </w:r>
      <w:r w:rsidRPr="00A67440">
        <w:rPr>
          <w:rFonts w:ascii="Arial" w:eastAsia="Calibri" w:hAnsi="Arial" w:cs="Arial"/>
          <w:spacing w:val="-1"/>
          <w:sz w:val="17"/>
          <w:szCs w:val="17"/>
        </w:rPr>
        <w:tab/>
      </w:r>
      <w:r>
        <w:rPr>
          <w:rFonts w:ascii="Arial" w:eastAsia="Calibri" w:hAnsi="Arial" w:cs="Arial"/>
          <w:spacing w:val="-1"/>
          <w:sz w:val="17"/>
          <w:szCs w:val="17"/>
        </w:rPr>
        <w:t>La Institución cuenta con indicadores</w:t>
      </w:r>
      <w:r w:rsidRPr="00A67440">
        <w:rPr>
          <w:rFonts w:ascii="Arial" w:eastAsia="Calibri" w:hAnsi="Arial" w:cs="Arial"/>
          <w:spacing w:val="-1"/>
          <w:sz w:val="17"/>
          <w:szCs w:val="17"/>
        </w:rPr>
        <w:t xml:space="preserve"> de desemp</w:t>
      </w:r>
      <w:r>
        <w:rPr>
          <w:rFonts w:ascii="Arial" w:eastAsia="Calibri" w:hAnsi="Arial" w:cs="Arial"/>
          <w:spacing w:val="-1"/>
          <w:sz w:val="17"/>
          <w:szCs w:val="17"/>
        </w:rPr>
        <w:t>eño financiero, metas y alcance, mismos que son establecidos por la Dirección de Planeación y el Área de Programación y Presupuestos.</w:t>
      </w:r>
    </w:p>
    <w:p w:rsidR="00471F46" w:rsidRPr="008053D2" w:rsidRDefault="00471F46" w:rsidP="00471F46">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r w:rsidRPr="0057155F">
        <w:rPr>
          <w:rFonts w:ascii="Arial" w:eastAsia="Calibri" w:hAnsi="Arial" w:cs="Arial"/>
          <w:spacing w:val="-1"/>
          <w:sz w:val="17"/>
          <w:szCs w:val="17"/>
        </w:rPr>
        <w:t xml:space="preserve"> (Este apartado no aplica para la Institución).</w:t>
      </w:r>
    </w:p>
    <w:p w:rsidR="00471F46" w:rsidRPr="00A67440" w:rsidRDefault="00471F46" w:rsidP="00471F46">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71F46" w:rsidRDefault="00471F46" w:rsidP="00471F46">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471F46" w:rsidRPr="008053D2" w:rsidRDefault="00471F46" w:rsidP="00471F46">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r w:rsidRPr="0057155F">
        <w:rPr>
          <w:rFonts w:ascii="Arial" w:eastAsia="Calibri" w:hAnsi="Arial" w:cs="Arial"/>
          <w:spacing w:val="-1"/>
          <w:sz w:val="17"/>
          <w:szCs w:val="17"/>
        </w:rPr>
        <w:t xml:space="preserve"> (Este apartado no aplica para la Institución).</w:t>
      </w:r>
    </w:p>
    <w:p w:rsidR="00471F46" w:rsidRDefault="00471F46" w:rsidP="00471F46">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p>
    <w:p w:rsidR="00471F46" w:rsidRPr="008053D2" w:rsidRDefault="00471F46" w:rsidP="00471F46">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r w:rsidRPr="0057155F">
        <w:rPr>
          <w:rFonts w:ascii="Arial" w:eastAsia="Calibri" w:hAnsi="Arial" w:cs="Arial"/>
          <w:spacing w:val="-1"/>
          <w:sz w:val="17"/>
          <w:szCs w:val="17"/>
        </w:rPr>
        <w:t xml:space="preserve"> (Este apartado no aplica para la Institución).</w:t>
      </w:r>
    </w:p>
    <w:p w:rsidR="00471F46" w:rsidRPr="00A67440" w:rsidRDefault="00471F46" w:rsidP="00471F46">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 establecer por escrito que no existen partes relacionadas que pudieran ejercer influencia significativa sobre la toma de decisiones financieras y operativas.</w:t>
      </w:r>
    </w:p>
    <w:p w:rsidR="00471F46" w:rsidRPr="008053D2" w:rsidRDefault="00471F46" w:rsidP="00471F46">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471F46" w:rsidRPr="002D70DA" w:rsidRDefault="00471F46" w:rsidP="00471F46">
      <w:p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La Información Contable</w:t>
      </w:r>
      <w:r>
        <w:rPr>
          <w:rFonts w:ascii="Arial" w:eastAsia="Calibri" w:hAnsi="Arial" w:cs="Arial"/>
          <w:spacing w:val="-1"/>
          <w:sz w:val="17"/>
          <w:szCs w:val="17"/>
        </w:rPr>
        <w:t xml:space="preserve"> de la Institución, cumple con la disposición de</w:t>
      </w:r>
      <w:r w:rsidRPr="00A67440">
        <w:rPr>
          <w:rFonts w:ascii="Arial" w:eastAsia="Calibri" w:hAnsi="Arial" w:cs="Arial"/>
          <w:spacing w:val="-1"/>
          <w:sz w:val="17"/>
          <w:szCs w:val="17"/>
        </w:rPr>
        <w:t xml:space="preserve">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471F46" w:rsidRPr="002D70DA" w:rsidRDefault="00471F46" w:rsidP="00471F46">
      <w:pPr>
        <w:autoSpaceDE w:val="0"/>
        <w:autoSpaceDN w:val="0"/>
        <w:adjustRightInd w:val="0"/>
        <w:spacing w:before="80" w:line="250" w:lineRule="exact"/>
        <w:jc w:val="both"/>
        <w:rPr>
          <w:rFonts w:ascii="Arial" w:hAnsi="Arial" w:cs="Arial"/>
          <w:sz w:val="17"/>
          <w:szCs w:val="17"/>
        </w:rPr>
      </w:pPr>
    </w:p>
    <w:p w:rsidR="00471F46" w:rsidRPr="002D70DA" w:rsidRDefault="00471F46" w:rsidP="00471F46">
      <w:pPr>
        <w:autoSpaceDE w:val="0"/>
        <w:autoSpaceDN w:val="0"/>
        <w:adjustRightInd w:val="0"/>
        <w:spacing w:before="80" w:line="250" w:lineRule="exact"/>
        <w:jc w:val="both"/>
        <w:rPr>
          <w:rFonts w:ascii="Arial" w:hAnsi="Arial" w:cs="Arial"/>
          <w:bCs/>
          <w:iCs/>
          <w:sz w:val="17"/>
          <w:szCs w:val="17"/>
          <w:lang w:eastAsia="es-ES"/>
        </w:rPr>
      </w:pPr>
    </w:p>
    <w:p w:rsidR="00471F46" w:rsidRPr="002D70DA" w:rsidRDefault="00471F46" w:rsidP="00471F46">
      <w:pPr>
        <w:autoSpaceDE w:val="0"/>
        <w:autoSpaceDN w:val="0"/>
        <w:adjustRightInd w:val="0"/>
        <w:spacing w:before="80" w:line="250" w:lineRule="exact"/>
        <w:jc w:val="both"/>
        <w:rPr>
          <w:rFonts w:ascii="Arial" w:hAnsi="Arial" w:cs="Arial"/>
          <w:bCs/>
          <w:iCs/>
          <w:sz w:val="17"/>
          <w:szCs w:val="17"/>
          <w:lang w:eastAsia="es-ES"/>
        </w:rPr>
      </w:pPr>
    </w:p>
    <w:tbl>
      <w:tblPr>
        <w:tblpPr w:leftFromText="141" w:rightFromText="141" w:vertAnchor="text" w:horzAnchor="margin" w:tblpY="210"/>
        <w:tblW w:w="12376" w:type="dxa"/>
        <w:tblCellMar>
          <w:left w:w="70" w:type="dxa"/>
          <w:right w:w="70" w:type="dxa"/>
        </w:tblCellMar>
        <w:tblLook w:val="04A0" w:firstRow="1" w:lastRow="0" w:firstColumn="1" w:lastColumn="0" w:noHBand="0" w:noVBand="1"/>
      </w:tblPr>
      <w:tblGrid>
        <w:gridCol w:w="5840"/>
        <w:gridCol w:w="280"/>
        <w:gridCol w:w="416"/>
        <w:gridCol w:w="5840"/>
      </w:tblGrid>
      <w:tr w:rsidR="00471F46" w:rsidRPr="002D70DA" w:rsidTr="00D56B01">
        <w:trPr>
          <w:trHeight w:val="499"/>
        </w:trPr>
        <w:tc>
          <w:tcPr>
            <w:tcW w:w="5840" w:type="dxa"/>
            <w:tcBorders>
              <w:top w:val="nil"/>
              <w:left w:val="nil"/>
              <w:bottom w:val="single" w:sz="4" w:space="0" w:color="auto"/>
              <w:right w:val="nil"/>
            </w:tcBorders>
            <w:shd w:val="clear" w:color="000000" w:fill="FFFFFF"/>
            <w:noWrap/>
            <w:vAlign w:val="bottom"/>
            <w:hideMark/>
          </w:tcPr>
          <w:p w:rsidR="00471F46" w:rsidRPr="002D70DA" w:rsidRDefault="00471F46" w:rsidP="00D56B01">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471F46" w:rsidRPr="002D70DA" w:rsidRDefault="00471F46" w:rsidP="00D56B01">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71F46" w:rsidRPr="002D70DA" w:rsidRDefault="00471F46" w:rsidP="00D56B01">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471F46" w:rsidRPr="002D70DA" w:rsidRDefault="00471F46" w:rsidP="00D56B01">
            <w:pPr>
              <w:jc w:val="center"/>
              <w:rPr>
                <w:rFonts w:ascii="Arial" w:hAnsi="Arial" w:cs="Arial"/>
                <w:sz w:val="17"/>
                <w:szCs w:val="17"/>
              </w:rPr>
            </w:pPr>
          </w:p>
        </w:tc>
      </w:tr>
      <w:tr w:rsidR="009C5039" w:rsidRPr="002D70DA" w:rsidTr="009C5039">
        <w:trPr>
          <w:trHeight w:val="300"/>
        </w:trPr>
        <w:tc>
          <w:tcPr>
            <w:tcW w:w="5840" w:type="dxa"/>
            <w:tcBorders>
              <w:top w:val="single" w:sz="4" w:space="0" w:color="auto"/>
              <w:left w:val="nil"/>
              <w:bottom w:val="nil"/>
              <w:right w:val="nil"/>
            </w:tcBorders>
            <w:shd w:val="clear" w:color="000000" w:fill="FFFFFF"/>
            <w:noWrap/>
            <w:vAlign w:val="bottom"/>
          </w:tcPr>
          <w:p w:rsidR="009C5039" w:rsidRPr="002D70DA" w:rsidRDefault="009C5039" w:rsidP="009C5039">
            <w:pPr>
              <w:jc w:val="center"/>
              <w:rPr>
                <w:rFonts w:ascii="Arial" w:hAnsi="Arial" w:cs="Arial"/>
                <w:color w:val="000000"/>
                <w:sz w:val="17"/>
                <w:szCs w:val="17"/>
              </w:rPr>
            </w:pPr>
          </w:p>
        </w:tc>
        <w:tc>
          <w:tcPr>
            <w:tcW w:w="280" w:type="dxa"/>
            <w:tcBorders>
              <w:top w:val="nil"/>
              <w:left w:val="nil"/>
              <w:bottom w:val="nil"/>
              <w:right w:val="nil"/>
            </w:tcBorders>
            <w:shd w:val="clear" w:color="000000" w:fill="FFFFFF"/>
            <w:noWrap/>
            <w:vAlign w:val="bottom"/>
          </w:tcPr>
          <w:p w:rsidR="009C5039" w:rsidRPr="002D70DA" w:rsidRDefault="009C5039" w:rsidP="009C5039">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9C5039" w:rsidRPr="002D70DA" w:rsidRDefault="009C5039" w:rsidP="009C5039">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9C5039" w:rsidRPr="002D70DA" w:rsidRDefault="009C5039" w:rsidP="009C5039">
            <w:pPr>
              <w:jc w:val="center"/>
              <w:rPr>
                <w:rFonts w:ascii="Arial" w:hAnsi="Arial" w:cs="Arial"/>
                <w:color w:val="000000"/>
                <w:sz w:val="17"/>
                <w:szCs w:val="17"/>
              </w:rPr>
            </w:pPr>
            <w:r>
              <w:rPr>
                <w:rFonts w:ascii="Arial" w:hAnsi="Arial" w:cs="Arial"/>
                <w:color w:val="000000"/>
                <w:sz w:val="17"/>
                <w:szCs w:val="17"/>
              </w:rPr>
              <w:t>C.P. Apolinar Villegas Arcos</w:t>
            </w:r>
          </w:p>
        </w:tc>
      </w:tr>
      <w:tr w:rsidR="009C5039" w:rsidRPr="002D70DA" w:rsidTr="009C5039">
        <w:trPr>
          <w:trHeight w:val="300"/>
        </w:trPr>
        <w:tc>
          <w:tcPr>
            <w:tcW w:w="5840" w:type="dxa"/>
            <w:tcBorders>
              <w:top w:val="nil"/>
              <w:left w:val="nil"/>
              <w:bottom w:val="nil"/>
              <w:right w:val="nil"/>
            </w:tcBorders>
            <w:shd w:val="clear" w:color="000000" w:fill="FFFFFF"/>
          </w:tcPr>
          <w:p w:rsidR="009C5039" w:rsidRPr="002D70DA" w:rsidRDefault="009C5039" w:rsidP="009C5039">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9C5039" w:rsidRPr="002D70DA" w:rsidRDefault="009C5039" w:rsidP="009C5039">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9C5039" w:rsidRPr="002D70DA" w:rsidRDefault="009C5039" w:rsidP="009C5039">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9C5039" w:rsidRPr="002D70DA" w:rsidRDefault="009C5039" w:rsidP="009C5039">
            <w:pPr>
              <w:jc w:val="center"/>
              <w:rPr>
                <w:rFonts w:ascii="Arial" w:hAnsi="Arial" w:cs="Arial"/>
                <w:sz w:val="17"/>
                <w:szCs w:val="17"/>
              </w:rPr>
            </w:pPr>
            <w:r>
              <w:rPr>
                <w:rFonts w:ascii="Arial" w:hAnsi="Arial" w:cs="Arial"/>
                <w:sz w:val="17"/>
                <w:szCs w:val="17"/>
              </w:rPr>
              <w:t xml:space="preserve">Secretario de Administración y Finanzas </w:t>
            </w:r>
          </w:p>
        </w:tc>
        <w:bookmarkStart w:id="6" w:name="_GoBack"/>
        <w:bookmarkEnd w:id="6"/>
      </w:tr>
    </w:tbl>
    <w:p w:rsidR="0037658D" w:rsidRDefault="009C5039" w:rsidP="002533F7">
      <w:pPr>
        <w:rPr>
          <w:rFonts w:ascii="Arial" w:hAnsi="Arial" w:cs="Arial"/>
          <w:b/>
          <w:sz w:val="17"/>
          <w:szCs w:val="17"/>
        </w:rPr>
      </w:pPr>
      <w:r>
        <w:rPr>
          <w:noProof/>
        </w:rPr>
        <mc:AlternateContent>
          <mc:Choice Requires="wps">
            <w:drawing>
              <wp:anchor distT="0" distB="0" distL="114300" distR="114300" simplePos="0" relativeHeight="251659264" behindDoc="0" locked="0" layoutInCell="1" allowOverlap="1" wp14:anchorId="680B8414" wp14:editId="1CD6E024">
                <wp:simplePos x="0" y="0"/>
                <wp:positionH relativeFrom="margin">
                  <wp:align>left</wp:align>
                </wp:positionH>
                <wp:positionV relativeFrom="paragraph">
                  <wp:posOffset>632460</wp:posOffset>
                </wp:positionV>
                <wp:extent cx="3533775" cy="419100"/>
                <wp:effectExtent l="0" t="0" r="9525" b="0"/>
                <wp:wrapNone/>
                <wp:docPr id="7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19100"/>
                        </a:xfrm>
                        <a:prstGeom prst="rect">
                          <a:avLst/>
                        </a:prstGeom>
                        <a:noFill/>
                        <a:ln w="9525">
                          <a:noFill/>
                          <a:miter lim="800000"/>
                          <a:headEnd/>
                          <a:tailEnd/>
                        </a:ln>
                      </wps:spPr>
                      <wps:txbx>
                        <w:txbxContent>
                          <w:p w:rsidR="009C5039" w:rsidRDefault="009C5039" w:rsidP="009C5039">
                            <w:pPr>
                              <w:pStyle w:val="NormalWeb"/>
                              <w:spacing w:before="0" w:beforeAutospacing="0" w:after="0" w:afterAutospacing="0"/>
                              <w:jc w:val="center"/>
                            </w:pPr>
                            <w:r>
                              <w:rPr>
                                <w:rFonts w:ascii="Arial" w:hAnsi="Arial" w:cs="Arial"/>
                                <w:color w:val="000000"/>
                                <w:sz w:val="18"/>
                                <w:szCs w:val="18"/>
                              </w:rPr>
                              <w:t>Rector</w:t>
                            </w:r>
                          </w:p>
                          <w:p w:rsidR="009C5039" w:rsidRDefault="009C5039" w:rsidP="009C5039">
                            <w:pPr>
                              <w:pStyle w:val="NormalWeb"/>
                              <w:spacing w:before="0" w:beforeAutospacing="0" w:after="0" w:afterAutospacing="0"/>
                              <w:jc w:val="center"/>
                            </w:pPr>
                            <w:r>
                              <w:rPr>
                                <w:rFonts w:asciiTheme="minorHAnsi" w:hAnsi="Calibri" w:cstheme="minorBidi"/>
                                <w:sz w:val="20"/>
                                <w:szCs w:val="20"/>
                              </w:rPr>
                              <w:t xml:space="preserve">M. en C. </w:t>
                            </w:r>
                            <w:r>
                              <w:rPr>
                                <w:rFonts w:asciiTheme="minorHAnsi" w:hAnsi="Calibri" w:cstheme="minorBidi"/>
                                <w:sz w:val="20"/>
                                <w:szCs w:val="20"/>
                              </w:rPr>
                              <w:t>José</w:t>
                            </w:r>
                            <w:r>
                              <w:rPr>
                                <w:rFonts w:asciiTheme="minorHAnsi" w:hAnsi="Calibri" w:cstheme="minorBidi"/>
                                <w:sz w:val="20"/>
                                <w:szCs w:val="20"/>
                              </w:rPr>
                              <w:t xml:space="preserve"> Carlos Arredondo </w:t>
                            </w:r>
                            <w:r>
                              <w:rPr>
                                <w:rFonts w:asciiTheme="minorHAnsi" w:hAnsi="Calibri" w:cstheme="minorBidi"/>
                                <w:sz w:val="20"/>
                                <w:szCs w:val="20"/>
                              </w:rPr>
                              <w:t>Velázquez</w:t>
                            </w:r>
                            <w:r>
                              <w:rPr>
                                <w:rFonts w:asciiTheme="minorHAnsi" w:hAnsi="Calibri" w:cstheme="minorBidi"/>
                                <w:sz w:val="20"/>
                                <w:szCs w:val="20"/>
                              </w:rPr>
                              <w:t xml:space="preserve"> </w:t>
                            </w:r>
                          </w:p>
                        </w:txbxContent>
                      </wps:txbx>
                      <wps:bodyPr vertOverflow="clip" wrap="square" lIns="27432" tIns="22860" rIns="27432"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680B8414" id="_x0000_t202" coordsize="21600,21600" o:spt="202" path="m,l,21600r21600,l21600,xe">
                <v:stroke joinstyle="miter"/>
                <v:path gradientshapeok="t" o:connecttype="rect"/>
              </v:shapetype>
              <v:shape id="Text Box 2" o:spid="_x0000_s1026" type="#_x0000_t202" style="position:absolute;margin-left:0;margin-top:49.8pt;width:278.25pt;height: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" filled="f" stroked="f">
                <v:textbox inset="2.16pt,1.8pt,2.16pt,0">
                  <w:txbxContent>
                    <w:p w:rsidR="009C5039" w:rsidRDefault="009C5039" w:rsidP="009C5039">
                      <w:pPr>
                        <w:pStyle w:val="NormalWeb"/>
                        <w:spacing w:before="0" w:beforeAutospacing="0" w:after="0" w:afterAutospacing="0"/>
                        <w:jc w:val="center"/>
                      </w:pPr>
                      <w:r>
                        <w:rPr>
                          <w:rFonts w:ascii="Arial" w:hAnsi="Arial" w:cs="Arial"/>
                          <w:color w:val="000000"/>
                          <w:sz w:val="18"/>
                          <w:szCs w:val="18"/>
                        </w:rPr>
                        <w:t>Rector</w:t>
                      </w:r>
                    </w:p>
                    <w:p w:rsidR="009C5039" w:rsidRDefault="009C5039" w:rsidP="009C5039">
                      <w:pPr>
                        <w:pStyle w:val="NormalWeb"/>
                        <w:spacing w:before="0" w:beforeAutospacing="0" w:after="0" w:afterAutospacing="0"/>
                        <w:jc w:val="center"/>
                      </w:pPr>
                      <w:r>
                        <w:rPr>
                          <w:rFonts w:asciiTheme="minorHAnsi" w:hAnsi="Calibri" w:cstheme="minorBidi"/>
                          <w:sz w:val="20"/>
                          <w:szCs w:val="20"/>
                        </w:rPr>
                        <w:t xml:space="preserve">M. en C. </w:t>
                      </w:r>
                      <w:r>
                        <w:rPr>
                          <w:rFonts w:asciiTheme="minorHAnsi" w:hAnsi="Calibri" w:cstheme="minorBidi"/>
                          <w:sz w:val="20"/>
                          <w:szCs w:val="20"/>
                        </w:rPr>
                        <w:t>José</w:t>
                      </w:r>
                      <w:r>
                        <w:rPr>
                          <w:rFonts w:asciiTheme="minorHAnsi" w:hAnsi="Calibri" w:cstheme="minorBidi"/>
                          <w:sz w:val="20"/>
                          <w:szCs w:val="20"/>
                        </w:rPr>
                        <w:t xml:space="preserve"> Carlos Arredondo </w:t>
                      </w:r>
                      <w:r>
                        <w:rPr>
                          <w:rFonts w:asciiTheme="minorHAnsi" w:hAnsi="Calibri" w:cstheme="minorBidi"/>
                          <w:sz w:val="20"/>
                          <w:szCs w:val="20"/>
                        </w:rPr>
                        <w:t>Velázquez</w:t>
                      </w:r>
                      <w:r>
                        <w:rPr>
                          <w:rFonts w:asciiTheme="minorHAnsi" w:hAnsi="Calibri" w:cstheme="minorBidi"/>
                          <w:sz w:val="20"/>
                          <w:szCs w:val="20"/>
                        </w:rPr>
                        <w:t xml:space="preserve"> </w:t>
                      </w:r>
                    </w:p>
                  </w:txbxContent>
                </v:textbox>
                <w10:wrap anchorx="margin"/>
              </v:shape>
            </w:pict>
          </mc:Fallback>
        </mc:AlternateContent>
      </w:r>
    </w:p>
    <w:sectPr w:rsidR="0037658D"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AF" w:rsidRDefault="009464AF">
      <w:r>
        <w:separator/>
      </w:r>
    </w:p>
  </w:endnote>
  <w:endnote w:type="continuationSeparator" w:id="0">
    <w:p w:rsidR="009464AF" w:rsidRDefault="0094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6" w:rsidRPr="00CF00D0" w:rsidRDefault="00AB0E08" w:rsidP="00813029">
    <w:pPr>
      <w:pStyle w:val="Textoindependiente3"/>
      <w:tabs>
        <w:tab w:val="right" w:pos="13288"/>
      </w:tabs>
      <w:rPr>
        <w:rFonts w:ascii="Avenir LT Std 45 Book" w:hAnsi="Avenir LT Std 45 Book" w:cs="Arial"/>
        <w:color w:val="808080"/>
        <w:szCs w:val="20"/>
      </w:rPr>
    </w:pPr>
    <w:r>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simplePos x="0" y="0"/>
              <wp:positionH relativeFrom="margin">
                <wp:posOffset>6350</wp:posOffset>
              </wp:positionH>
              <wp:positionV relativeFrom="bottomMargin">
                <wp:posOffset>148590</wp:posOffset>
              </wp:positionV>
              <wp:extent cx="8442325" cy="45085"/>
              <wp:effectExtent l="0" t="0" r="15875" b="12065"/>
              <wp:wrapSquare wrapText="bothSides"/>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D3DB4" id="Rectángulo 14" o:spid="_x0000_s1026" style="position:absolute;margin-left:.5pt;margin-top:11.7pt;width:664.75pt;height:3.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" fillcolor="#a5a5a5 [3206]" strokecolor="#525252 [1606]" strokeweight="1pt">
              <v:path arrowok="t"/>
              <w10:wrap type="square" anchorx="margin" anchory="margin"/>
            </v:rect>
          </w:pict>
        </mc:Fallback>
      </mc:AlternateContent>
    </w:r>
    <w:r w:rsidR="00FB30A6">
      <w:rPr>
        <w:rFonts w:ascii="Avenir LT Std 45 Book" w:hAnsi="Avenir LT Std 45 Book" w:cs="Arial"/>
        <w:color w:val="808080"/>
        <w:szCs w:val="20"/>
      </w:rPr>
      <w:t>NOTAS A LOS ESTADOS FINANCIEROS</w:t>
    </w:r>
    <w:r w:rsidR="00FB30A6">
      <w:rPr>
        <w:rFonts w:ascii="Avenir LT Std 45 Book" w:hAnsi="Avenir LT Std 45 Book" w:cs="Arial"/>
        <w:color w:val="808080"/>
        <w:szCs w:val="20"/>
      </w:rPr>
      <w:tab/>
    </w:r>
    <w:r w:rsidR="00FB30A6" w:rsidRPr="00CF00D0">
      <w:rPr>
        <w:rFonts w:ascii="Avenir LT Std 45 Book" w:hAnsi="Avenir LT Std 45 Book" w:cs="Arial"/>
        <w:color w:val="808080"/>
        <w:szCs w:val="20"/>
      </w:rPr>
      <w:t xml:space="preserve">Página </w:t>
    </w:r>
    <w:r w:rsidR="00FB30A6" w:rsidRPr="00CF00D0">
      <w:rPr>
        <w:rFonts w:ascii="Avenir LT Std 45 Book" w:hAnsi="Avenir LT Std 45 Book" w:cs="Arial"/>
        <w:color w:val="808080"/>
        <w:szCs w:val="20"/>
      </w:rPr>
      <w:fldChar w:fldCharType="begin"/>
    </w:r>
    <w:r w:rsidR="00FB30A6" w:rsidRPr="00CF00D0">
      <w:rPr>
        <w:rFonts w:ascii="Avenir LT Std 45 Book" w:hAnsi="Avenir LT Std 45 Book" w:cs="Arial"/>
        <w:color w:val="808080"/>
        <w:szCs w:val="20"/>
      </w:rPr>
      <w:instrText xml:space="preserve"> PAGE   \* MERGEFORMAT </w:instrText>
    </w:r>
    <w:r w:rsidR="00FB30A6" w:rsidRPr="00CF00D0">
      <w:rPr>
        <w:rFonts w:ascii="Avenir LT Std 45 Book" w:hAnsi="Avenir LT Std 45 Book" w:cs="Arial"/>
        <w:color w:val="808080"/>
        <w:szCs w:val="20"/>
      </w:rPr>
      <w:fldChar w:fldCharType="separate"/>
    </w:r>
    <w:r w:rsidR="009C5039">
      <w:rPr>
        <w:rFonts w:ascii="Avenir LT Std 45 Book" w:hAnsi="Avenir LT Std 45 Book" w:cs="Arial"/>
        <w:noProof/>
        <w:color w:val="808080"/>
        <w:szCs w:val="20"/>
      </w:rPr>
      <w:t>30</w:t>
    </w:r>
    <w:r w:rsidR="00FB30A6" w:rsidRPr="00CF00D0">
      <w:rPr>
        <w:rFonts w:ascii="Avenir LT Std 45 Book" w:hAnsi="Avenir LT Std 45 Book" w:cs="Arial"/>
        <w:color w:val="808080"/>
        <w:szCs w:val="20"/>
      </w:rPr>
      <w:fldChar w:fldCharType="end"/>
    </w:r>
    <w:r w:rsidR="00FB30A6" w:rsidRPr="00CF00D0">
      <w:rPr>
        <w:rFonts w:ascii="Avenir LT Std 45 Book" w:hAnsi="Avenir LT Std 45 Book" w:cs="Arial"/>
        <w:color w:val="808080"/>
        <w:szCs w:val="20"/>
      </w:rPr>
      <w:t xml:space="preserve"> de </w:t>
    </w:r>
    <w:fldSimple w:instr=" NUMPAGES   \* MERGEFORMAT ">
      <w:r w:rsidR="009C5039" w:rsidRPr="009C5039">
        <w:rPr>
          <w:rFonts w:ascii="Avenir LT Std 45 Book" w:hAnsi="Avenir LT Std 45 Book" w:cs="Arial"/>
          <w:noProof/>
          <w:color w:val="808080"/>
          <w:szCs w:val="20"/>
        </w:rPr>
        <w:t>32</w:t>
      </w:r>
    </w:fldSimple>
  </w:p>
  <w:p w:rsidR="00FB30A6" w:rsidRPr="00813029" w:rsidRDefault="00FB30A6"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6" w:rsidRPr="00CF00D0" w:rsidRDefault="00AB0E08" w:rsidP="00813029">
    <w:pPr>
      <w:pStyle w:val="Textoindependiente3"/>
      <w:tabs>
        <w:tab w:val="right" w:pos="13288"/>
      </w:tabs>
      <w:rPr>
        <w:rFonts w:ascii="Avenir LT Std 45 Book" w:hAnsi="Avenir LT Std 45 Book" w:cs="Arial"/>
        <w:color w:val="808080"/>
        <w:szCs w:val="20"/>
      </w:rPr>
    </w:pPr>
    <w:r>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simplePos x="0" y="0"/>
              <wp:positionH relativeFrom="margin">
                <wp:posOffset>-2540</wp:posOffset>
              </wp:positionH>
              <wp:positionV relativeFrom="page">
                <wp:posOffset>7129780</wp:posOffset>
              </wp:positionV>
              <wp:extent cx="8442325" cy="45085"/>
              <wp:effectExtent l="0" t="0" r="15875" b="12065"/>
              <wp:wrapSquare wrapText="bothSides"/>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29F16" id="Rectángulo 6" o:spid="_x0000_s1026" style="position:absolute;margin-left:-.2pt;margin-top:561.4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" fillcolor="#a5a5a5 [3206]" strokecolor="#525252 [1606]" strokeweight="1pt">
              <v:path arrowok="t"/>
              <w10:wrap type="square" anchorx="margin" anchory="page"/>
            </v:rect>
          </w:pict>
        </mc:Fallback>
      </mc:AlternateContent>
    </w:r>
    <w:r w:rsidR="00FB30A6">
      <w:rPr>
        <w:rFonts w:ascii="Avenir LT Std 45 Book" w:hAnsi="Avenir LT Std 45 Book" w:cs="Arial"/>
        <w:color w:val="808080"/>
        <w:szCs w:val="20"/>
      </w:rPr>
      <w:t>NOTAS A LOS ESTADOS FINANCIEROS</w:t>
    </w:r>
    <w:r w:rsidR="00FB30A6">
      <w:rPr>
        <w:rFonts w:ascii="Avenir LT Std 45 Book" w:hAnsi="Avenir LT Std 45 Book" w:cs="Arial"/>
        <w:color w:val="808080"/>
        <w:szCs w:val="20"/>
      </w:rPr>
      <w:tab/>
    </w:r>
    <w:r w:rsidR="00FB30A6" w:rsidRPr="00CF00D0">
      <w:rPr>
        <w:rFonts w:ascii="Avenir LT Std 45 Book" w:hAnsi="Avenir LT Std 45 Book" w:cs="Arial"/>
        <w:color w:val="808080"/>
        <w:szCs w:val="20"/>
      </w:rPr>
      <w:t xml:space="preserve">Página </w:t>
    </w:r>
    <w:r w:rsidR="00FB30A6" w:rsidRPr="00CF00D0">
      <w:rPr>
        <w:rFonts w:ascii="Avenir LT Std 45 Book" w:hAnsi="Avenir LT Std 45 Book" w:cs="Arial"/>
        <w:color w:val="808080"/>
        <w:szCs w:val="20"/>
      </w:rPr>
      <w:fldChar w:fldCharType="begin"/>
    </w:r>
    <w:r w:rsidR="00FB30A6" w:rsidRPr="00CF00D0">
      <w:rPr>
        <w:rFonts w:ascii="Avenir LT Std 45 Book" w:hAnsi="Avenir LT Std 45 Book" w:cs="Arial"/>
        <w:color w:val="808080"/>
        <w:szCs w:val="20"/>
      </w:rPr>
      <w:instrText xml:space="preserve"> PAGE   \* MERGEFORMAT </w:instrText>
    </w:r>
    <w:r w:rsidR="00FB30A6" w:rsidRPr="00CF00D0">
      <w:rPr>
        <w:rFonts w:ascii="Avenir LT Std 45 Book" w:hAnsi="Avenir LT Std 45 Book" w:cs="Arial"/>
        <w:color w:val="808080"/>
        <w:szCs w:val="20"/>
      </w:rPr>
      <w:fldChar w:fldCharType="separate"/>
    </w:r>
    <w:r w:rsidR="009C5039">
      <w:rPr>
        <w:rFonts w:ascii="Avenir LT Std 45 Book" w:hAnsi="Avenir LT Std 45 Book" w:cs="Arial"/>
        <w:noProof/>
        <w:color w:val="808080"/>
        <w:szCs w:val="20"/>
      </w:rPr>
      <w:t>31</w:t>
    </w:r>
    <w:r w:rsidR="00FB30A6" w:rsidRPr="00CF00D0">
      <w:rPr>
        <w:rFonts w:ascii="Avenir LT Std 45 Book" w:hAnsi="Avenir LT Std 45 Book" w:cs="Arial"/>
        <w:color w:val="808080"/>
        <w:szCs w:val="20"/>
      </w:rPr>
      <w:fldChar w:fldCharType="end"/>
    </w:r>
    <w:r w:rsidR="00FB30A6" w:rsidRPr="00CF00D0">
      <w:rPr>
        <w:rFonts w:ascii="Avenir LT Std 45 Book" w:hAnsi="Avenir LT Std 45 Book" w:cs="Arial"/>
        <w:color w:val="808080"/>
        <w:szCs w:val="20"/>
      </w:rPr>
      <w:t xml:space="preserve"> de </w:t>
    </w:r>
    <w:fldSimple w:instr=" NUMPAGES   \* MERGEFORMAT ">
      <w:r w:rsidR="009C5039" w:rsidRPr="009C5039">
        <w:rPr>
          <w:rFonts w:ascii="Avenir LT Std 45 Book" w:hAnsi="Avenir LT Std 45 Book" w:cs="Arial"/>
          <w:noProof/>
          <w:color w:val="808080"/>
          <w:szCs w:val="20"/>
        </w:rPr>
        <w:t>32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AF" w:rsidRDefault="009464AF">
      <w:r>
        <w:separator/>
      </w:r>
    </w:p>
  </w:footnote>
  <w:footnote w:type="continuationSeparator" w:id="0">
    <w:p w:rsidR="009464AF" w:rsidRDefault="009464AF">
      <w:r>
        <w:continuationSeparator/>
      </w:r>
    </w:p>
  </w:footnote>
  <w:footnote w:id="1">
    <w:p w:rsidR="00FB30A6" w:rsidRPr="000008C2" w:rsidRDefault="00FB30A6">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6" w:rsidRPr="002809DB" w:rsidRDefault="00511782" w:rsidP="00627A77">
    <w:pPr>
      <w:rPr>
        <w:rFonts w:ascii="Soberana Sans Light" w:hAnsi="Soberana Sans Light"/>
        <w:b/>
        <w:sz w:val="20"/>
        <w:szCs w:val="20"/>
      </w:rPr>
    </w:pPr>
    <w:r>
      <w:rPr>
        <w:noProof/>
      </w:rPr>
      <w:drawing>
        <wp:anchor distT="0" distB="0" distL="114300" distR="114300" simplePos="0" relativeHeight="251673600" behindDoc="0" locked="0" layoutInCell="1" allowOverlap="1">
          <wp:simplePos x="0" y="0"/>
          <wp:positionH relativeFrom="column">
            <wp:posOffset>144348</wp:posOffset>
          </wp:positionH>
          <wp:positionV relativeFrom="paragraph">
            <wp:posOffset>-410988</wp:posOffset>
          </wp:positionV>
          <wp:extent cx="1473320" cy="655607"/>
          <wp:effectExtent l="19050" t="0" r="0" b="0"/>
          <wp:wrapNone/>
          <wp:docPr id="7" name="Picture 7" descr="Resultado de imagen para ut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uteq"/>
                  <pic:cNvPicPr>
                    <a:picLocks noChangeAspect="1" noChangeArrowheads="1"/>
                  </pic:cNvPicPr>
                </pic:nvPicPr>
                <pic:blipFill>
                  <a:blip r:embed="rId1"/>
                  <a:srcRect/>
                  <a:stretch>
                    <a:fillRect/>
                  </a:stretch>
                </pic:blipFill>
                <pic:spPr bwMode="auto">
                  <a:xfrm>
                    <a:off x="0" y="0"/>
                    <a:ext cx="1473320" cy="655607"/>
                  </a:xfrm>
                  <a:prstGeom prst="rect">
                    <a:avLst/>
                  </a:prstGeom>
                  <a:noFill/>
                  <a:ln w="9525">
                    <a:noFill/>
                    <a:miter lim="800000"/>
                    <a:headEnd/>
                    <a:tailEnd/>
                  </a:ln>
                </pic:spPr>
              </pic:pic>
            </a:graphicData>
          </a:graphic>
        </wp:anchor>
      </w:drawing>
    </w:r>
    <w:r w:rsidR="00AB0E08">
      <w:rPr>
        <w:noProof/>
      </w:rPr>
      <mc:AlternateContent>
        <mc:Choice Requires="wps">
          <w:drawing>
            <wp:anchor distT="0" distB="0" distL="114300" distR="114300" simplePos="0" relativeHeight="251659264" behindDoc="0" locked="0" layoutInCell="1" allowOverlap="1">
              <wp:simplePos x="0" y="0"/>
              <wp:positionH relativeFrom="column">
                <wp:posOffset>6488430</wp:posOffset>
              </wp:positionH>
              <wp:positionV relativeFrom="paragraph">
                <wp:posOffset>-422275</wp:posOffset>
              </wp:positionV>
              <wp:extent cx="1940560" cy="325120"/>
              <wp:effectExtent l="0" t="0" r="2540" b="0"/>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0A6" w:rsidRPr="00CF00D0" w:rsidRDefault="00FB30A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510.9pt;margin-top:-33.25pt;width:152.8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" stroked="f">
              <v:textbox>
                <w:txbxContent>
                  <w:p w:rsidR="00FB30A6" w:rsidRPr="00CF00D0" w:rsidRDefault="00FB30A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txbxContent>
              </v:textbox>
            </v:shape>
          </w:pict>
        </mc:Fallback>
      </mc:AlternateContent>
    </w:r>
    <w:r w:rsidR="00AB0E08">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-97155</wp:posOffset>
              </wp:positionV>
              <wp:extent cx="1940560" cy="30861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0A6" w:rsidRPr="00CF00D0" w:rsidRDefault="00FB30A6"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" stroked="f">
              <v:textbox>
                <w:txbxContent>
                  <w:p w:rsidR="00FB30A6" w:rsidRPr="00CF00D0" w:rsidRDefault="00FB30A6"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sidR="00AB0E08">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268605</wp:posOffset>
              </wp:positionV>
              <wp:extent cx="8442960" cy="45720"/>
              <wp:effectExtent l="0" t="0" r="15240" b="1143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960" cy="457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7660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" fillcolor="#a5a5a5 [3206]" strokecolor="#525252 [1606]" strokeweight="1pt">
              <v:path arrowok="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6" w:rsidRPr="00CF00D0" w:rsidRDefault="00AB0E08"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simplePos x="0" y="0"/>
              <wp:positionH relativeFrom="margin">
                <wp:posOffset>-19050</wp:posOffset>
              </wp:positionH>
              <wp:positionV relativeFrom="paragraph">
                <wp:posOffset>205740</wp:posOffset>
              </wp:positionV>
              <wp:extent cx="8442960" cy="45720"/>
              <wp:effectExtent l="0" t="0" r="15240"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960" cy="457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030C6"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" fillcolor="#a5a5a5 [3206]" strokecolor="#525252 [1606]" strokeweight="1pt">
              <v:path arrowok="t"/>
              <w10:wrap anchorx="margin"/>
            </v:rect>
          </w:pict>
        </mc:Fallback>
      </mc:AlternateContent>
    </w:r>
    <w:r w:rsidR="00FB30A6">
      <w:rPr>
        <w:rFonts w:ascii="Avenir LT Std 45 Book" w:hAnsi="Avenir LT Std 45 Book" w:cs="Arial"/>
        <w:b/>
        <w:caps/>
        <w:noProof/>
        <w:color w:val="808080"/>
        <w:sz w:val="20"/>
        <w:szCs w:val="20"/>
      </w:rPr>
      <w:t>UNIVERSIDAD TECNOLÓGICA DE QUERETARO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285651"/>
    <w:multiLevelType w:val="hybridMultilevel"/>
    <w:tmpl w:val="73F880A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80F75C5"/>
    <w:multiLevelType w:val="hybridMultilevel"/>
    <w:tmpl w:val="C2E0909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7">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1E4DD6"/>
    <w:multiLevelType w:val="hybridMultilevel"/>
    <w:tmpl w:val="B83EC54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3">
    <w:nsid w:val="4509325C"/>
    <w:multiLevelType w:val="hybridMultilevel"/>
    <w:tmpl w:val="84C609E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7">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152253"/>
    <w:multiLevelType w:val="hybridMultilevel"/>
    <w:tmpl w:val="0876FDA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F25F1E"/>
    <w:multiLevelType w:val="hybridMultilevel"/>
    <w:tmpl w:val="B83EC54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9FB0C96"/>
    <w:multiLevelType w:val="hybridMultilevel"/>
    <w:tmpl w:val="221AA02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5">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4"/>
  </w:num>
  <w:num w:numId="2">
    <w:abstractNumId w:val="22"/>
  </w:num>
  <w:num w:numId="3">
    <w:abstractNumId w:val="1"/>
  </w:num>
  <w:num w:numId="4">
    <w:abstractNumId w:val="25"/>
  </w:num>
  <w:num w:numId="5">
    <w:abstractNumId w:val="20"/>
  </w:num>
  <w:num w:numId="6">
    <w:abstractNumId w:val="0"/>
  </w:num>
  <w:num w:numId="7">
    <w:abstractNumId w:val="33"/>
  </w:num>
  <w:num w:numId="8">
    <w:abstractNumId w:val="26"/>
  </w:num>
  <w:num w:numId="9">
    <w:abstractNumId w:val="2"/>
  </w:num>
  <w:num w:numId="10">
    <w:abstractNumId w:val="13"/>
  </w:num>
  <w:num w:numId="11">
    <w:abstractNumId w:val="27"/>
  </w:num>
  <w:num w:numId="12">
    <w:abstractNumId w:val="3"/>
  </w:num>
  <w:num w:numId="13">
    <w:abstractNumId w:val="10"/>
  </w:num>
  <w:num w:numId="14">
    <w:abstractNumId w:val="4"/>
  </w:num>
  <w:num w:numId="15">
    <w:abstractNumId w:val="16"/>
  </w:num>
  <w:num w:numId="16">
    <w:abstractNumId w:val="0"/>
  </w:num>
  <w:num w:numId="17">
    <w:abstractNumId w:val="4"/>
  </w:num>
  <w:num w:numId="18">
    <w:abstractNumId w:val="45"/>
  </w:num>
  <w:num w:numId="19">
    <w:abstractNumId w:val="39"/>
  </w:num>
  <w:num w:numId="20">
    <w:abstractNumId w:val="47"/>
  </w:num>
  <w:num w:numId="21">
    <w:abstractNumId w:val="42"/>
  </w:num>
  <w:num w:numId="22">
    <w:abstractNumId w:val="37"/>
  </w:num>
  <w:num w:numId="23">
    <w:abstractNumId w:val="17"/>
  </w:num>
  <w:num w:numId="24">
    <w:abstractNumId w:val="35"/>
  </w:num>
  <w:num w:numId="25">
    <w:abstractNumId w:val="9"/>
  </w:num>
  <w:num w:numId="26">
    <w:abstractNumId w:val="21"/>
  </w:num>
  <w:num w:numId="27">
    <w:abstractNumId w:val="34"/>
  </w:num>
  <w:num w:numId="28">
    <w:abstractNumId w:val="38"/>
  </w:num>
  <w:num w:numId="29">
    <w:abstractNumId w:val="43"/>
  </w:num>
  <w:num w:numId="30">
    <w:abstractNumId w:val="6"/>
  </w:num>
  <w:num w:numId="31">
    <w:abstractNumId w:val="5"/>
  </w:num>
  <w:num w:numId="32">
    <w:abstractNumId w:val="11"/>
  </w:num>
  <w:num w:numId="33">
    <w:abstractNumId w:val="32"/>
  </w:num>
  <w:num w:numId="34">
    <w:abstractNumId w:val="30"/>
  </w:num>
  <w:num w:numId="35">
    <w:abstractNumId w:val="19"/>
  </w:num>
  <w:num w:numId="36">
    <w:abstractNumId w:val="46"/>
  </w:num>
  <w:num w:numId="37">
    <w:abstractNumId w:val="18"/>
  </w:num>
  <w:num w:numId="38">
    <w:abstractNumId w:val="24"/>
  </w:num>
  <w:num w:numId="39">
    <w:abstractNumId w:val="8"/>
  </w:num>
  <w:num w:numId="40">
    <w:abstractNumId w:val="36"/>
  </w:num>
  <w:num w:numId="41">
    <w:abstractNumId w:val="15"/>
  </w:num>
  <w:num w:numId="42">
    <w:abstractNumId w:val="7"/>
  </w:num>
  <w:num w:numId="43">
    <w:abstractNumId w:val="28"/>
  </w:num>
  <w:num w:numId="44">
    <w:abstractNumId w:val="40"/>
  </w:num>
  <w:num w:numId="45">
    <w:abstractNumId w:val="31"/>
  </w:num>
  <w:num w:numId="46">
    <w:abstractNumId w:val="23"/>
  </w:num>
  <w:num w:numId="47">
    <w:abstractNumId w:val="14"/>
  </w:num>
  <w:num w:numId="48">
    <w:abstractNumId w:val="12"/>
  </w:num>
  <w:num w:numId="49">
    <w:abstractNumId w:val="41"/>
  </w:num>
  <w:num w:numId="5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1D2"/>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821"/>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A47"/>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E3B"/>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C747D"/>
    <w:rsid w:val="001D0243"/>
    <w:rsid w:val="001D065E"/>
    <w:rsid w:val="001D12B4"/>
    <w:rsid w:val="001D24E0"/>
    <w:rsid w:val="001D2A70"/>
    <w:rsid w:val="001D33F2"/>
    <w:rsid w:val="001D4900"/>
    <w:rsid w:val="001D49E1"/>
    <w:rsid w:val="001D643D"/>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38A"/>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5C84"/>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7796A"/>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19C1"/>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5FB"/>
    <w:rsid w:val="00415E93"/>
    <w:rsid w:val="004205E8"/>
    <w:rsid w:val="004240FB"/>
    <w:rsid w:val="0042445F"/>
    <w:rsid w:val="00424A9E"/>
    <w:rsid w:val="00426A69"/>
    <w:rsid w:val="00431195"/>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4F2B"/>
    <w:rsid w:val="00466290"/>
    <w:rsid w:val="004666AD"/>
    <w:rsid w:val="004671AB"/>
    <w:rsid w:val="00471F46"/>
    <w:rsid w:val="004767C3"/>
    <w:rsid w:val="00484DCB"/>
    <w:rsid w:val="00485520"/>
    <w:rsid w:val="00485576"/>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1782"/>
    <w:rsid w:val="00512DFD"/>
    <w:rsid w:val="005207C4"/>
    <w:rsid w:val="00525356"/>
    <w:rsid w:val="0052576B"/>
    <w:rsid w:val="005265BA"/>
    <w:rsid w:val="00530766"/>
    <w:rsid w:val="0053372B"/>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0AE1"/>
    <w:rsid w:val="00574885"/>
    <w:rsid w:val="0057495B"/>
    <w:rsid w:val="00575E9B"/>
    <w:rsid w:val="005760D4"/>
    <w:rsid w:val="005762C1"/>
    <w:rsid w:val="00577A5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20BB"/>
    <w:rsid w:val="005A2D74"/>
    <w:rsid w:val="005A359D"/>
    <w:rsid w:val="005A46D1"/>
    <w:rsid w:val="005A4FA0"/>
    <w:rsid w:val="005A68FB"/>
    <w:rsid w:val="005A775E"/>
    <w:rsid w:val="005A7F0F"/>
    <w:rsid w:val="005B09D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0355"/>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2C04"/>
    <w:rsid w:val="0069303E"/>
    <w:rsid w:val="006943BE"/>
    <w:rsid w:val="00694F09"/>
    <w:rsid w:val="00695AE0"/>
    <w:rsid w:val="00697105"/>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3BCA"/>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A83"/>
    <w:rsid w:val="00927D41"/>
    <w:rsid w:val="009324D4"/>
    <w:rsid w:val="00933195"/>
    <w:rsid w:val="00934994"/>
    <w:rsid w:val="00935C49"/>
    <w:rsid w:val="0093635F"/>
    <w:rsid w:val="00937414"/>
    <w:rsid w:val="00943F4F"/>
    <w:rsid w:val="00944370"/>
    <w:rsid w:val="0094443A"/>
    <w:rsid w:val="00944EF6"/>
    <w:rsid w:val="009460AC"/>
    <w:rsid w:val="009464AF"/>
    <w:rsid w:val="00950A3D"/>
    <w:rsid w:val="009521FB"/>
    <w:rsid w:val="00952BDA"/>
    <w:rsid w:val="009539D7"/>
    <w:rsid w:val="0095414A"/>
    <w:rsid w:val="00956E47"/>
    <w:rsid w:val="00956EB9"/>
    <w:rsid w:val="00957E26"/>
    <w:rsid w:val="0096089B"/>
    <w:rsid w:val="00960D24"/>
    <w:rsid w:val="00961E98"/>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039"/>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07C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0E08"/>
    <w:rsid w:val="00AB2099"/>
    <w:rsid w:val="00AB2574"/>
    <w:rsid w:val="00AB2F56"/>
    <w:rsid w:val="00AB40E3"/>
    <w:rsid w:val="00AB4ADD"/>
    <w:rsid w:val="00AB68CE"/>
    <w:rsid w:val="00AB72F1"/>
    <w:rsid w:val="00AB7F7F"/>
    <w:rsid w:val="00AC0B9C"/>
    <w:rsid w:val="00AC322A"/>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AF6B5B"/>
    <w:rsid w:val="00B00A01"/>
    <w:rsid w:val="00B0224A"/>
    <w:rsid w:val="00B026D3"/>
    <w:rsid w:val="00B03215"/>
    <w:rsid w:val="00B034E4"/>
    <w:rsid w:val="00B06090"/>
    <w:rsid w:val="00B07F44"/>
    <w:rsid w:val="00B13600"/>
    <w:rsid w:val="00B15D7B"/>
    <w:rsid w:val="00B24724"/>
    <w:rsid w:val="00B251B4"/>
    <w:rsid w:val="00B2530E"/>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422"/>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731"/>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1D8B"/>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58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68C2"/>
    <w:rsid w:val="00CC7034"/>
    <w:rsid w:val="00CD12A6"/>
    <w:rsid w:val="00CD293A"/>
    <w:rsid w:val="00CD47E1"/>
    <w:rsid w:val="00CD77E5"/>
    <w:rsid w:val="00CE089D"/>
    <w:rsid w:val="00CE2E9C"/>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17C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5E05"/>
    <w:rsid w:val="00D566BD"/>
    <w:rsid w:val="00D56B01"/>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3CA6"/>
    <w:rsid w:val="00DB3D0E"/>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3773"/>
    <w:rsid w:val="00E15AC5"/>
    <w:rsid w:val="00E1621F"/>
    <w:rsid w:val="00E20FD4"/>
    <w:rsid w:val="00E21085"/>
    <w:rsid w:val="00E23AF9"/>
    <w:rsid w:val="00E25071"/>
    <w:rsid w:val="00E27631"/>
    <w:rsid w:val="00E30ADA"/>
    <w:rsid w:val="00E321D5"/>
    <w:rsid w:val="00E32E33"/>
    <w:rsid w:val="00E33547"/>
    <w:rsid w:val="00E33794"/>
    <w:rsid w:val="00E34570"/>
    <w:rsid w:val="00E40A74"/>
    <w:rsid w:val="00E40EEC"/>
    <w:rsid w:val="00E41F1C"/>
    <w:rsid w:val="00E43512"/>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2A8"/>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60C1"/>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30A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77067E-CF8F-4A43-B297-FF77DFEB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styleId="NormalWeb">
    <w:name w:val="Normal (Web)"/>
    <w:basedOn w:val="Normal"/>
    <w:uiPriority w:val="99"/>
    <w:semiHidden/>
    <w:unhideWhenUsed/>
    <w:rsid w:val="009C503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2.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4.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5.xml><?xml version="1.0" encoding="utf-8"?>
<ds:datastoreItem xmlns:ds="http://schemas.openxmlformats.org/officeDocument/2006/customXml" ds:itemID="{CDE77691-6886-4E07-B85F-04BF7552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9437</Words>
  <Characters>51909</Characters>
  <Application>Microsoft Office Word</Application>
  <DocSecurity>0</DocSecurity>
  <Lines>432</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61224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smartinez</cp:lastModifiedBy>
  <cp:revision>3</cp:revision>
  <cp:lastPrinted>2014-03-13T03:19:00Z</cp:lastPrinted>
  <dcterms:created xsi:type="dcterms:W3CDTF">2018-02-22T15:39:00Z</dcterms:created>
  <dcterms:modified xsi:type="dcterms:W3CDTF">2018-02-23T17:07:00Z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